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EF6E9" Type="http://schemas.openxmlformats.org/officeDocument/2006/relationships/officeDocument" Target="/word/document.xml" /><Relationship Id="coreR15EF6E9" Type="http://schemas.openxmlformats.org/package/2006/relationships/metadata/core-properties" Target="/docProps/core.xml" /><Relationship Id="customR15EF6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lakýrnických a natěračských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nátěrů na kov, dřevo a jiné podklady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lakýrnické a natěračské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lakýrnické a natěračské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údržba nářadí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Obsluha, seřízení a údržba zařízení na nanášení nátěrových hmot stříkáním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nanášením nátěrových hmot na kov, dřevo a jiné podklady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lakýrnických a natěračských pracích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nátěrových hmot pro lakýrnické a natěračské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Nanášení nátěrů štětcem, válečkem a stříkacím zařízením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Úpravy a dokončování lakovaných povrchů broušením a leštěním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jednoduchých nápisů, emblémů a dekorativních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Napodobování (fládrování) druhů dřev včetně patinování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Návrh barevného řešení lakovaných a natíraných předmětů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Výpočet množství laků a nátěrů, spotřeby materiálů a zpracování položkového rozpočtu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lakýrnických a natěračských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https://www.nsp.cz/jednotka-prace/lakyrnik-a-naterac-68d0#zdravotni-zpusobilost).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platných technických norem a právních předpisů (jsou uvedeny u odpovídajících kritérií):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vysvětlením“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odůvodněním“ uchazeč v průběhu praktického předvádění nebo po jeho ukončení doplňuje činnosti ústním odůvodněním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Jan Zeman,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SŠSS Teplice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stavební Plzeň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Praha 9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malířů, lakýrníků a tapetářů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61A11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