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AD4786" Type="http://schemas.openxmlformats.org/officeDocument/2006/relationships/officeDocument" Target="/word/document.xml" /><Relationship Id="coreR34AD4786" Type="http://schemas.openxmlformats.org/package/2006/relationships/metadata/core-properties" Target="/docProps/core.xml" /><Relationship Id="customR34AD47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lakýrnických a natěračských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nátěrů na kov, dřevo a jiné podklady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lakýrnické a natěračské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lakýrnické a natěračské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údržba nářadí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Obsluha, seřízení a údržba zařízení na nanášení nátěrových hmot stříkáním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nanášením nátěrových hmot na kov, dřevo a jiné podklady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lakýrnických a natěračských pracích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nátěrových hmot pro lakýrnické a natěračské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Nanášení nátěrů štětcem, válečkem a stříkacím zařízením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Úpravy a dokončování lakovaných povrchů broušením a leštěním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jednoduchých nápisů, emblémů a dekorativních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Napodobování (fládrování) druhů dřev včetně patinování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Návrh barevného řešení lakovaných a natíraných předmětů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Výpočet množství laků a nátěrů, spotřeby materiálů a zpracování položkového rozpočtu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lakýrnických a natěračských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20.10.2026 12:59:18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https://www.nsp.cz/jednotka-prace/lakyrnik-a-naterac-68d0#zdravotni-zpusobilost).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 a právních předpisů (jsou uvedeny u odpovídajících kritérií):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vysvětlením“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odůvodněním“ uchazeč v průběhu praktického předvádění nebo po jeho ukončení doplňuje činnosti ústním odůvodněním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20.10.2026 12:59:18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Jan Zeman,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SŠSS Teplice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stavební Plzeň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Praha 9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malířů, lakýrníků a tapetářů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20.10.2026 12:59:18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804CD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