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FEBDFE" Type="http://schemas.openxmlformats.org/officeDocument/2006/relationships/officeDocument" Target="/word/document.xml" /><Relationship Id="coreREFEBDFE" Type="http://schemas.openxmlformats.org/package/2006/relationships/metadata/core-properties" Target="/docProps/core.xml" /><Relationship Id="customREFEBD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Tapetář/tapetářka (kód: 39-003-H)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Tapetář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Tapetář/tapetářka, 18.10.2026 16:25:29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Malíř a lakýrník (kód: 39-41-H/01)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Lakýrník a natěrač / lakýrnice a natěračka (kód: 39-002-H)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Malíř/malířka (kód: 39-001-H)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Tapetář/tapetářka (kód: 39-003-H)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6.2.2009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Malíř a lakýrník (kód: 39-99-H/02)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6.2.2009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Lakýrník a natěrač / lakýrnice a natěračka (kód: 39-002-H)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Malíř/malířka (kód: 39-001-H)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Tapetář/tapetářka (kód: 39-003-H)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Tapetář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Tapetář/tapetářka, 18.10.2026 16:25:29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