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6E4B26" Type="http://schemas.openxmlformats.org/officeDocument/2006/relationships/officeDocument" Target="/word/document.xml" /><Relationship Id="coreR7A6E4B26" Type="http://schemas.openxmlformats.org/package/2006/relationships/metadata/core-properties" Target="/docProps/core.xml" /><Relationship Id="customR7A6E4B2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Tapetář/tapetářka (kód: 39-003-H)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Tapetář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provádění a oprav tapetářských prací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provádění a oprav tapetářských prací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provádění a oprav tapetářských prací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materiálech pro tapetářské práce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kvality materiálů pro tapetářské práce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Příprava, používání a údržba nářadí, zařízení a pracovních pomůcek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Tmelení a broušení tmelených ploch při tapetářských pracích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podkladu před prováděním tapetářských prací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Příprava tapet a lepidel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Lepení běžných tapet a tapet s papírovou podložkou na stěny a stropy, opracování detailů a montáž zakončovacích lišt</w:t>
      </w:r>
    </w:p>
    <w:p>
      <w:pPr>
        <w:pStyle w:val="P18"/>
        <w:framePr w:w="805" w:h="607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Lepení speciálních tapet na stěny a stropy, opracování detailů a montáž zakončovacích lišt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Zhotovování tapet stříkaných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Zhotovování tapet válečkovaných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Upevňování lišt a jiných dekorativních prvků na stěny a stropy při provádění tapetářských prací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Úprava přetíratelných tapet nátěrem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Návrh barevného řešení tapetovaných ploch a prostorů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8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926"/>
        <w:rPr>
          <w:rStyle w:val="C11"/>
          <w:rtl w:val="0"/>
        </w:rPr>
      </w:pPr>
      <w:r>
        <w:rPr>
          <w:rStyle w:val="C11"/>
          <w:rtl w:val="0"/>
        </w:rPr>
        <w:t>Výpočet spotřeby materiálů a zpracování položkového rozpočtu</w:t>
      </w:r>
    </w:p>
    <w:p>
      <w:pPr>
        <w:pStyle w:val="P14"/>
        <w:framePr w:w="805" w:h="376" w:hRule="exact" w:wrap="none" w:vAnchor="page" w:hAnchor="margin" w:x="9916" w:y="118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92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24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302"/>
        <w:rPr>
          <w:rStyle w:val="C13"/>
          <w:rtl w:val="0"/>
        </w:rPr>
      </w:pPr>
      <w:r>
        <w:rPr>
          <w:rStyle w:val="C13"/>
          <w:rtl w:val="0"/>
        </w:rPr>
        <w:t>Orientace v předpisech BOZP, PO a hygieny práce při tapetářských pracích</w:t>
      </w:r>
    </w:p>
    <w:p>
      <w:pPr>
        <w:pStyle w:val="P18"/>
        <w:framePr w:w="805" w:h="376" w:hRule="exact" w:wrap="none" w:vAnchor="page" w:hAnchor="margin" w:x="9916" w:y="1224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30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62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678"/>
        <w:rPr>
          <w:rStyle w:val="C11"/>
          <w:rtl w:val="0"/>
        </w:rPr>
      </w:pPr>
      <w:r>
        <w:rPr>
          <w:rStyle w:val="C11"/>
          <w:rtl w:val="0"/>
        </w:rPr>
        <w:t>Nakládání s odpady</w:t>
      </w:r>
    </w:p>
    <w:p>
      <w:pPr>
        <w:pStyle w:val="P14"/>
        <w:framePr w:w="805" w:h="376" w:hRule="exact" w:wrap="none" w:vAnchor="page" w:hAnchor="margin" w:x="9916" w:y="1262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67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322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356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Tapetář/tapetářka, 8.9.2026 5:29:15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http://katalog.nsp.cz/karta_tp.aspx?id_jp=30727&amp;kod_sm1=41).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 a obuví, může použít vlastní osobní ochranné pracovní prostředky, základní nářadí a pracovní pomůcky odpovídající prováděným pracím.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plnění kompetence "Orientace v technologických postupech provádění a oprav tapetářských prací" je možný výběr zadání: technologický postup tapetování hotelového pokoje a chodby, koupelny, dětského pokoje, reprezentačního prostoru, dílny. Zadány budou alespoň dvě možnosti.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kritérií hodnocení je třeba hodnotit organizaci práce, dodržování předepsaných technologických postupů, volbu a dodržování pracovních postupů, volbu a používání nářadí, zařízení a pracovních pomůcek a kvalitu provedení prací. Dále je hodnoceno dodržování předpisů BOZP, PO a hygieny práce a používání osobních ochranných pracovních prostředků.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kritérií hodnocení je nezbytné uchazeči zajistit pomoc dalších osob.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Tapetář/tapetářka, 8.9.2026 5:29:15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malířů a lakýrníků České republiky, o. s.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Žatečka,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Radomil Konečný,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Jaroslav Málek,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Zdeněk Daňo,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Jan Zeman,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Jiří Nový,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Martin Páral,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Tapetář/tapetářka, 8.9.2026 5:29:15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