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C0852E" Type="http://schemas.openxmlformats.org/officeDocument/2006/relationships/officeDocument" Target="/word/document.xml" /><Relationship Id="coreRBC0852E" Type="http://schemas.openxmlformats.org/package/2006/relationships/metadata/core-properties" Target="/docProps/core.xml" /><Relationship Id="customRBC085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tapetářské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tapetářských pracích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prováděním tapetářských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tapet a lepidel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Lepení běžných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Zhotovování tapet stříkaných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tapet válečkovaných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tapetářských prací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Úprava přetíratelných tapet nátěrem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tapetářských pracích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2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566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28.9.2026 13:49:17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http://katalog.nsp.cz/karta_tp.aspx?id_jp=30727&amp;kod_sm1=41).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kompetence "Orientace v technologických postupech provádění a oprav tapetářských prací" je možný výběr zadání: technologický postup tapetování hotelového pokoje a chodby, koupelny, dětského pokoje, reprezentačního prostoru, dílny. Zadány budou alespoň dvě možnosti.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28.9.2026 13:49:17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28.9.2026 13:49:17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