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111F85" Type="http://schemas.openxmlformats.org/officeDocument/2006/relationships/officeDocument" Target="/word/document.xml" /><Relationship Id="coreR47111F85" Type="http://schemas.openxmlformats.org/package/2006/relationships/metadata/core-properties" Target="/docProps/core.xml" /><Relationship Id="customR47111F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14:32:42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Malíř a lakýrník (kód: 39-41-H/01)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6.2.2009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Malíř a lakýrník (kód: 39-99-H/02)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6.2.2009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Lakýrník a natěrač / lakýrnice a natěračka (kód: 39-002-H)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Malíř/malířka (kód: 39-001-H)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Tapetář/tapetářka (kód: 39-003-H)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Tapetář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14:32:42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