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8F818" Type="http://schemas.openxmlformats.org/officeDocument/2006/relationships/officeDocument" Target="/word/document.xml" /><Relationship Id="coreR22C8F818" Type="http://schemas.openxmlformats.org/package/2006/relationships/metadata/core-properties" Target="/docProps/core.xml" /><Relationship Id="customR22C8F8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tapetářské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tapetářských pracích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prováděním tapetářských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tapet a lepidel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Lepení běžných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Zhotovování tapet stříkaných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tapet válečkovaných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tapetářských prací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Úprava přetíratelných tapet nátěrem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tapetářských pracích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2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5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18.10.2026 19:23:43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http://katalog.nsp.cz/karta_tp.aspx?id_jp=30727&amp;kod_sm1=41).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kompetence "Orientace v technologických postupech provádění a oprav tapetářských prací" je možný výběr zadání: technologický postup tapetování hotelového pokoje a chodby, koupelny, dětského pokoje, reprezentačního prostoru, dílny. Zadány budou alespoň dvě možnosti.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18.10.2026 19:23:43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18.10.2026 19:23:43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