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1AF5D1" Type="http://schemas.openxmlformats.org/officeDocument/2006/relationships/officeDocument" Target="/word/document.xml" /><Relationship Id="coreR7D1AF5D1" Type="http://schemas.openxmlformats.org/package/2006/relationships/metadata/core-properties" Target="/docProps/core.xml" /><Relationship Id="customR7D1AF5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a zpracování modelovací a marcipánové hmoty (kód: 29-008-H)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a zpracování modelovací a marcipánové hmoty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modelovací a marcipánové hmoty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modelovací a marcipánové hmoty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modelovací a marcipánové hmoty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tvarování a modelování, tvarování pomocí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Dohotovování a zdobení výrobků a ozdob, barvení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výrobků z modelovací a marcipánové hmoty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Navrhování, výtvarná úprava a aranžování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modelovací a marcipánové hmoty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a zpracování modelovací a marcipánové hmoty, 30.9.2026 5:44:10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výrobků z modelovací a marcipánové hmoty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výrobků, množství (počet) výrobků určí zkoušející.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a zpracování modelovací a marcipánové hmoty, 30.9.2026 5:44:10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a zpracování modelovací a marcipánové hmoty, 30.9.2026 5:44:10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