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65742" Type="http://schemas.openxmlformats.org/officeDocument/2006/relationships/officeDocument" Target="/word/document.xml" /><Relationship Id="coreR35C65742" Type="http://schemas.openxmlformats.org/package/2006/relationships/metadata/core-properties" Target="/docProps/core.xml" /><Relationship Id="customR35C657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pomocných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c) Připravit a upravit suroviny k technologickému zpracování</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modelovací hmoty a marcipánu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831" w:hRule="exact" w:wrap="none" w:vAnchor="page" w:hAnchor="margin" w:x="45" w:y="12154"/>
        <w:rPr>
          <w:rStyle w:val="C3"/>
          <w:rtl w:val="0"/>
        </w:rPr>
      </w:pPr>
    </w:p>
    <w:p>
      <w:pPr>
        <w:pStyle w:val="P13"/>
        <w:framePr w:w="6658" w:h="704" w:hRule="exact" w:wrap="none" w:vAnchor="page" w:hAnchor="margin" w:x="71" w:y="1221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154"/>
        <w:rPr>
          <w:rStyle w:val="C3"/>
          <w:rtl w:val="0"/>
        </w:rPr>
      </w:pPr>
    </w:p>
    <w:p>
      <w:pPr>
        <w:pStyle w:val="P29"/>
        <w:framePr w:w="3839" w:h="704" w:hRule="exact" w:wrap="none" w:vAnchor="page" w:hAnchor="margin" w:x="6856" w:y="12210"/>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kvalitu, trvanlivost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a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ústní ověření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ústní ověření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Ústní ověření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 nákres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hmoty a marcipánu</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nabídkový sortiment marcipánových výrobků a výrobků z modelovací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Obsluhovat zákazníka, dodržovat zásady prodeje cukrářských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Vedení provozní evidence při výrobě a prodeji cukrářských výrobků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9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a zpracování modelovací a marcipánové hmoty, 9.9.2026 22:04:15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