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6803F3" Type="http://schemas.openxmlformats.org/officeDocument/2006/relationships/officeDocument" Target="/word/document.xml" /><Relationship Id="coreR3E6803F3" Type="http://schemas.openxmlformats.org/package/2006/relationships/metadata/core-properties" Target="/docProps/core.xml" /><Relationship Id="customR3E6803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pomocných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c) Připravit a upravit suroviny k technologickému zpracování</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modelovací hmoty a marcipánu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831" w:hRule="exact" w:wrap="none" w:vAnchor="page" w:hAnchor="margin" w:x="45" w:y="12154"/>
        <w:rPr>
          <w:rStyle w:val="C3"/>
          <w:rtl w:val="0"/>
        </w:rPr>
      </w:pPr>
    </w:p>
    <w:p>
      <w:pPr>
        <w:pStyle w:val="P13"/>
        <w:framePr w:w="6658" w:h="704" w:hRule="exact" w:wrap="none" w:vAnchor="page" w:hAnchor="margin" w:x="71" w:y="1221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154"/>
        <w:rPr>
          <w:rStyle w:val="C3"/>
          <w:rtl w:val="0"/>
        </w:rPr>
      </w:pPr>
    </w:p>
    <w:p>
      <w:pPr>
        <w:pStyle w:val="P29"/>
        <w:framePr w:w="3839" w:h="704" w:hRule="exact" w:wrap="none" w:vAnchor="page" w:hAnchor="margin" w:x="6856" w:y="12210"/>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kvalitu, trvanlivost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a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ústní ověření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ústní ověření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Ústní ověření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 nákres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hmoty a marcipánu</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nabídkový sortiment marcipánových výrobků a výrobků z modelovací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Obsluhovat zákazníka, dodržovat zásady prodeje cukrářských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Vedení provozní evidence při výrobě a prodeji cukrářských výrobků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9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a zpracování modelovací a marcipánové hmoty, 20.10.2026 9:29:36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