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78EADB" Type="http://schemas.openxmlformats.org/officeDocument/2006/relationships/officeDocument" Target="/word/document.xml" /><Relationship Id="coreR6E78EADB" Type="http://schemas.openxmlformats.org/package/2006/relationships/metadata/core-properties" Target="/docProps/core.xml" /><Relationship Id="customR6E78EA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a zpracování modelovací a marcipánové hmoty (kód: 29-008-H)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a zpracování modelovací a marcipánové hmoty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cukrářských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modelovací a marcipánové hmoty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modelovací a marcipánové hmoty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zpracování modelovací a marcipánové hmoty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tvarování a modelování, tvarování pomocí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Dohotovování a zdobení výrobků a ozdob, barvení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Uchovávání, balení a expedice výrobků z modelovací a marcipánové hmoty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cukrovinkářských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Navrhování, výtvarná úprava a aranžování cukrářských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výrobků z modelovací a marcipánové hmoty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a zpracování modelovací a marcipánové hmoty, 20.10.2026 9:28:57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https://www.nsp.cz/jednotka-prace/pracovnik-vyroby-a-zpraco#zdravotni-zpusobilost).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výrobků z modelovací a marcipánové hmoty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výrobků, množství (počet) výrobků určí zkoušející.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a zpracování modelovací a marcipánové hmoty, 20.10.2026 9:28:57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a zpracování modelovací a marcipánové hmoty, 20.10.2026 9:28:57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