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EC0469" Type="http://schemas.openxmlformats.org/officeDocument/2006/relationships/officeDocument" Target="/word/document.xml" /><Relationship Id="coreR7DEC0469" Type="http://schemas.openxmlformats.org/package/2006/relationships/metadata/core-properties" Target="/docProps/core.xml" /><Relationship Id="customR7DEC04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a zpracování modelovací a marcipánové hmoty (kód: 29-008-H)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a zpracování modelovací a marcipánové hmoty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cukrářských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modelovací a marcipánové hmoty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modelovací a marcipánové hmoty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zpracování modelovací a marcipánové hmoty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tvarování a modelování, tvarování pomocí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Dohotovování a zdobení výrobků a ozdob, barvení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Uchovávání, balení a expedice výrobků z modelovací a marcipánové hmoty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cukrovinkářských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Navrhování, výtvarná úprava a aranžování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výrobků z modelovací a marcipánové hmoty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a zpracování modelovací a marcipánové hmoty, 30.9.2026 5:46:02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https://www.nsp.cz/jednotka-prace/pracovnik-vyroby-a-zpraco#zdravotni-zpusobilost).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výrobků z modelovací a marcipánové hmoty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výrobků, množství (počet) výrobků určí zkoušející.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a zpracování modelovací a marcipánové hmoty, 30.9.2026 5:46:02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a zpracování modelovací a marcipánové hmoty, 30.9.2026 5:46:02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