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1BA47" Type="http://schemas.openxmlformats.org/officeDocument/2006/relationships/officeDocument" Target="/word/document.xml" /><Relationship Id="coreR6201BA47" Type="http://schemas.openxmlformats.org/package/2006/relationships/metadata/core-properties" Target="/docProps/core.xml" /><Relationship Id="customR6201BA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končetin hříbat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Korektura kopyt bez podkování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Podkování zdravých a pravidelných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 a podkování nepravidelných kopyt v závislosti na nepravidelných postojích končetin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nemocných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paznehtů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postupu práce a ohřevu materiálu v kovářských pecích a výhních, vykování podkov a jednoduchých polotovarů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zhotovování různých typů podkov na pravidelná, nepravidelná a nemocná kopyta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evidence související s podkovářskou praxí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etiky, kodexu jednání a předpisů souvisejících s podkovářskou praxí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prokazatelně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podkovu, případně provést ortopedická opatření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