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3EA3C" Type="http://schemas.openxmlformats.org/officeDocument/2006/relationships/officeDocument" Target="/word/document.xml" /><Relationship Id="coreR27F3EA3C" Type="http://schemas.openxmlformats.org/package/2006/relationships/metadata/core-properties" Target="/docProps/core.xml" /><Relationship Id="customR27F3EA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použití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Demontáž, montáž a seřizování strojů a zařízení v zemědělské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údržbářských a opravárenských prací na zemědělských strojích a strojních zařízeních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evidence související s kovářskou praxí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použití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orientaci v technických normách a technických podkladech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ke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 a ústní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strojního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Demontáž, montáž a seřizování strojů a zařízení v zemědělské výrobě</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zásady jednotlivých způsobů demontáže a montáže</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Provést určené běžné demontážní, montážní a seřizovací práce při opravách zemědělské techniky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použití určených přípravků pro demontáže a montáže mechanismů bez poškození součástí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Dodržet zásady BOZP pro provádění montážních prací</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32"/>
        <w:framePr w:w="10710" w:h="248" w:hRule="exact" w:wrap="none" w:vAnchor="page" w:hAnchor="margin" w:x="28" w:y="12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údržbářských a opravárenských prací na zemědělských strojích a strojních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údržby a oprav zemědělských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příčiny poruch strojů a popsat opotřebení strojních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mechanizačního prostředku nebo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příčinu zadané poruchy a navrhnout opatření k jejímu odstranění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Opravit a seřídit zadané mechanizační prostředky (pluhy, samosběrací vozy, rozmetadla) nebo zařízení podle agrotechnických nebo zootechnických požadavků na jejich činnost</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Dodržet zásady BOZP pro opravárenské práce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547" w:hRule="exact" w:wrap="none" w:vAnchor="page" w:hAnchor="margin" w:x="28" w:y="6231"/>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6878"/>
        <w:rPr>
          <w:rStyle w:val="C3"/>
          <w:rtl w:val="0"/>
        </w:rPr>
      </w:pPr>
    </w:p>
    <w:p>
      <w:pPr>
        <w:pStyle w:val="P25"/>
        <w:framePr w:w="6661" w:h="249" w:hRule="exact" w:wrap="none" w:vAnchor="page" w:hAnchor="margin" w:x="71" w:y="6949"/>
        <w:rPr>
          <w:rStyle w:val="C19"/>
          <w:rtl w:val="0"/>
        </w:rPr>
      </w:pPr>
      <w:r>
        <w:rPr>
          <w:rStyle w:val="C19"/>
          <w:rtl w:val="0"/>
        </w:rPr>
        <w:t>Kritéria hodnocení</w:t>
      </w:r>
    </w:p>
    <w:p>
      <w:pPr>
        <w:pStyle w:val="P26"/>
        <w:framePr w:w="3918" w:h="376" w:hRule="exact" w:wrap="none" w:vAnchor="page" w:hAnchor="margin" w:x="6803" w:y="6878"/>
        <w:rPr>
          <w:rStyle w:val="C3"/>
          <w:rtl w:val="0"/>
        </w:rPr>
      </w:pPr>
    </w:p>
    <w:p>
      <w:pPr>
        <w:pStyle w:val="P27"/>
        <w:framePr w:w="3836" w:h="249" w:hRule="exact" w:wrap="none" w:vAnchor="page" w:hAnchor="margin" w:x="6859" w:y="6949"/>
        <w:rPr>
          <w:rStyle w:val="C20"/>
          <w:rtl w:val="0"/>
        </w:rPr>
      </w:pPr>
      <w:r>
        <w:rPr>
          <w:rStyle w:val="C20"/>
          <w:rtl w:val="0"/>
        </w:rPr>
        <w:t>Způsoby ověření</w:t>
      </w:r>
    </w:p>
    <w:p>
      <w:pPr>
        <w:pStyle w:val="P12"/>
        <w:framePr w:w="6710" w:h="607" w:hRule="exact" w:wrap="none" w:vAnchor="page" w:hAnchor="margin" w:x="45" w:y="7254"/>
        <w:rPr>
          <w:rStyle w:val="C3"/>
          <w:rtl w:val="0"/>
        </w:rPr>
      </w:pPr>
    </w:p>
    <w:p>
      <w:pPr>
        <w:pStyle w:val="P13"/>
        <w:framePr w:w="6658" w:h="480" w:hRule="exact" w:wrap="none" w:vAnchor="page" w:hAnchor="margin" w:x="71" w:y="7310"/>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7254"/>
        <w:rPr>
          <w:rStyle w:val="C3"/>
          <w:rtl w:val="0"/>
        </w:rPr>
      </w:pPr>
    </w:p>
    <w:p>
      <w:pPr>
        <w:pStyle w:val="P29"/>
        <w:framePr w:w="3839" w:h="480" w:hRule="exact" w:wrap="none" w:vAnchor="page" w:hAnchor="margin" w:x="6856" w:y="7310"/>
        <w:rPr>
          <w:rStyle w:val="C21"/>
          <w:rtl w:val="0"/>
        </w:rPr>
      </w:pPr>
      <w:r>
        <w:rPr>
          <w:rStyle w:val="C21"/>
          <w:rtl w:val="0"/>
        </w:rPr>
        <w:t>Praktické předvedení a ústní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obě kritéria.</w:t>
      </w:r>
    </w:p>
    <w:p>
      <w:pPr>
        <w:pStyle w:val="P23"/>
        <w:framePr w:w="10710" w:h="340" w:hRule="exact" w:wrap="none" w:vAnchor="page" w:hAnchor="margin" w:x="28" w:y="9017"/>
        <w:rPr>
          <w:rStyle w:val="C18"/>
          <w:rtl w:val="0"/>
        </w:rPr>
      </w:pPr>
      <w:r>
        <w:rPr>
          <w:rStyle w:val="C18"/>
          <w:rtl w:val="0"/>
        </w:rPr>
        <w:t>Vedení evidence související s kovářskou praxí</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Praktické předvedení a ústní ověření</w:t>
      </w:r>
    </w:p>
    <w:p>
      <w:pPr>
        <w:pStyle w:val="P16"/>
        <w:framePr w:w="6710" w:h="607" w:hRule="exact" w:wrap="none" w:vAnchor="page" w:hAnchor="margin" w:x="45" w:y="10439"/>
        <w:rPr>
          <w:rStyle w:val="C3"/>
          <w:rtl w:val="0"/>
        </w:rPr>
      </w:pPr>
    </w:p>
    <w:p>
      <w:pPr>
        <w:pStyle w:val="P17"/>
        <w:framePr w:w="6658" w:h="480" w:hRule="exact" w:wrap="none" w:vAnchor="page" w:hAnchor="margin" w:x="71" w:y="10495"/>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39"/>
        <w:rPr>
          <w:rStyle w:val="C3"/>
          <w:rtl w:val="0"/>
        </w:rPr>
      </w:pPr>
    </w:p>
    <w:p>
      <w:pPr>
        <w:pStyle w:val="P31"/>
        <w:framePr w:w="3839" w:h="480" w:hRule="exact" w:wrap="none" w:vAnchor="page" w:hAnchor="margin" w:x="6856" w:y="10495"/>
        <w:rPr>
          <w:rStyle w:val="C22"/>
          <w:rtl w:val="0"/>
        </w:rPr>
      </w:pPr>
      <w:r>
        <w:rPr>
          <w:rStyle w:val="C22"/>
          <w:rtl w:val="0"/>
        </w:rPr>
        <w:t>Praktické předvedení a ústní ověření</w:t>
      </w:r>
    </w:p>
    <w:p>
      <w:pPr>
        <w:pStyle w:val="P32"/>
        <w:framePr w:w="10710" w:h="248" w:hRule="exact" w:wrap="none" w:vAnchor="page" w:hAnchor="margin" w:x="28" w:y="111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řidičské oprávnění v rozsahu skupiny T nebo skupiny C a svářečský průkaz pro svařování elektrickým obloukem (v rozsahu oprávnění ZK 111 W 01 nebo ZK 135 W 01) a svařování plamenem a řezání kyslíkem (v rozsahu oprávnění ZK 311 W 01). Autorizovaná osoba dále stanoví, které pomůcky uchazeč při zkoušce nesmí používat.</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probíhá v navazujících činnostech vedoucích k ucelenému obrazu zemědělského kováře.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obsahuje následující činnosti: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výběru norem, pracovat se servisními příručkami apod.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a použít vhodné materiály pro zadaný úkol</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pracovní postup operace, druh pracovního stroje, nářadí, přípravky a měřidla, připravit si pracoviště a pracovní pomůcky, upnout nářadí a seřídit stroj pro třískové obrábění, kování výkovků, zařízení pro svařování menší technologické náročnosti apod.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do chodu obráběcí stroje, kovací a svařovací zařízení apod., řídit a kontrolovat jejich chod a vykonávat na nich všechny základní práce při výrobě, opravách, renovacích součástí a údržbě zemědělských strojů a zařízení menší technologické složitosti a hmotnosti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 atd.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pStyle w:val="P33"/>
        <w:framePr w:w="10766" w:h="2072"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732"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zeměřeném na kovářství, podkovářství nebo zemědělskou mechanizaci, svářečský průkaz pro ověřované druhy svařování a střední vzdělání s maturitní zkouškou a alespoň 5 let odborné praxe ve funkci mistra (vedoucího) dílny, provozu nebo úseku zahrnujícího pracoviště pro opravy zemědělské techniky,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zaměřeném na zemědělskou mechanizaci, svářečský průkaz pro ověřované druhy svařování a 5 let praxe ve funkci mistra (vedoucího) dílny, provozu nebo úseku zahrnujícího pracoviště pro opravy zemědělské techniky,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zaměřeném na zemědělskou mechanizaci, svářečský průkaz pro ověřované druhy svařování a nejméně 5 let praxe ve funkci učitele odborného výcviku nebo učitele praktického vyučování v kovářských nebo opravárenských oborech nebo učitele praktického vyučování,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nebo vyšší odborné vzdělání zaměřené na mechanizaci zemědělství, svářečský průkaz pro ověřované druhy svařování a 5 let praxe ve funkci vedoucího pracoviště pro opravy zemědělské techniky,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805" w:hRule="exact" w:wrap="none" w:vAnchor="page" w:hAnchor="margin" w:x="0" w:y="11890"/>
        <w:rPr>
          <w:rStyle w:val="C3"/>
          <w:rtl w:val="0"/>
        </w:rPr>
      </w:pPr>
    </w:p>
    <w:p>
      <w:pPr>
        <w:pStyle w:val="P35"/>
        <w:framePr w:w="10710" w:h="340" w:hRule="exact" w:wrap="none" w:vAnchor="page" w:hAnchor="margin" w:x="28" w:y="11890"/>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náhradní díly apod.</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zemědělské technice</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autorizace.e</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univerzita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Veterinární a farmaceutická univerzita Brno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SSDOS Moravský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Zemědělský kovář, 30.9.2026 7:38:53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C9C3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ACA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6CA6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