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AE95AD" Type="http://schemas.openxmlformats.org/officeDocument/2006/relationships/officeDocument" Target="/word/document.xml" /><Relationship Id="coreR40AE95AD" Type="http://schemas.openxmlformats.org/package/2006/relationships/metadata/core-properties" Target="/docProps/core.xml" /><Relationship Id="customR40AE95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 podkováře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zacházení s koněm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ošetření kopyta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Přípravné a dokončovací práce pro podkováře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opracování podkovy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18.10.2026 18:19:09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bude probíhat v navazujících činnostech vedoucích k ucelenému obrazu pomocníka podkováře.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zadat tyto činnosti: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Připravit pracoviště pro podkováře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v kroku a v klusu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Zvednout a fixovat koňskou končetinu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Sejmout podkovu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Asistence při podkování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Provést nýtování a konečnou úpravu kopyt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pohody zvířat (welfare). Při ověřování kompetencí formou praktického předvedení je třeba přihlížet především k bezpečnému provádění všech úkonů, dodržování hygieny práce, jakož i ke kvalitě a časovému hledisku zvládání předváděných operací. Důraz je třeba klást na šetrnou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18.10.2026 18:19:09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a farmaceutická univerzita Brno - Klinika chorob koní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 (OSVČ) - Podkovářská škola,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SSDOS Moravský Krumlov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18.10.2026 18:19:09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