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15DD22" Type="http://schemas.openxmlformats.org/officeDocument/2006/relationships/officeDocument" Target="/word/document.xml" /><Relationship Id="coreR7515DD22" Type="http://schemas.openxmlformats.org/package/2006/relationships/metadata/core-properties" Target="/docProps/core.xml" /><Relationship Id="customR7515DD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 podkováře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Zacházení se zvířaty, čištění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a dokončovací práce pro podkováře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ošetření kopyta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opracování podkovy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07.02.2009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7.11.2026 17:56:57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by mělo pokud možno probíhat v navazujících činnostech vedoucích k ucelenému podkovářskému úkonu.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zadávat např. tyto činnosti: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Diagnostikovat zvíře z hlediska korektury rohoviny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vhodný postup korektury, nářadí a pomůcky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Asistence při podkování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Důraz je třeba klást na šetrnou manipulaci s koňmi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7.11.2026 17:56:57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zemědělství a zástupci následujících institucí: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sdružení podkovářů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– podkovářů Čech, Moravy a Slezska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řemeslná Jaroměř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7.11.2026 17:56:57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