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116125" Type="http://schemas.openxmlformats.org/officeDocument/2006/relationships/officeDocument" Target="/word/document.xml" /><Relationship Id="coreR47116125" Type="http://schemas.openxmlformats.org/package/2006/relationships/metadata/core-properties" Target="/docProps/core.xml" /><Relationship Id="customR471161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 nebo v 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9:51:54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 (pokud nemá ke zkoušce vlastního koně) a s požadavky bezpečnosti a ochrany zdraví při práci a požární ochrany (BOZP a PO).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jezdce, který je schopen připravit koně pro jeho další užití.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ruce, v klidu, v kroku a v klusu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Nauzdit koně a předvést lonžování např. s chambonem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Postavit drezurní obdélník, kavaletovou a postupovou řadu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Nauzdit a nasedlat koně, předvést základní drezurní úlohu, kavaletovou a skokovou postupovou řadu předepsanou zkušebními řády jednotlivých plemenných knih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koně, vyjmenovat a popsat různé způsoby spřežení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práci s říjící klisnou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koně po práci a péči o kopyta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pracoviště, kategorie a plemene určeného koně. Důraz je třeba klást na šetrnou manipulaci s koňmi podloženou dostatečnými odbornými vědomostmi a dovednostmi. Při práci s koňmi je třeba hodnotit přístup ke zvířatům a respektování požadavků welfare.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drezúře se hodnotí zejména sed a pomůcky holení a rukou, vliv jezdce, ve skoku na parkuru rovnováha a styl jezdce. Jednotlivá kritéria se zaměřují na proces i výsledek. 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9:51:54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9:51:54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