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0CF58F" Type="http://schemas.openxmlformats.org/officeDocument/2006/relationships/officeDocument" Target="/word/document.xml" /><Relationship Id="coreR310CF58F" Type="http://schemas.openxmlformats.org/package/2006/relationships/metadata/core-properties" Target="/docProps/core.xml" /><Relationship Id="customR310CF5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všechny kategorie koní dle věku a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koní k potažní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Zapřahání a řízení potahů při provozování prací v zemědělské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29.9.2026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https://nsp.cz/jednotka-prace/koci#zdravotni-zpusobilost) 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U kritérií s písemným a zároveň ústním ověřením uchazeč nejprve zpracuje zadané úkoly písemně a následně bude zkoušející ověřovat schopnost aplikace poznatků a porozumění formou rozhovoru s uchazečem. Praktická část probíhá ve stáji a na jízdárně.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úkolů formou praktického předvedení je nutné přihlížet především k bezpečnému provádění všech úkonů. Dále je nutné přihlížet k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 Při práci s koňmi je třeba hodnotit přístup ke zvířatům a respektování zásad pohody zvířat (welfare).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vlastností koní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uchazeč popíše a vyhodnotí pohyb koně, který je přítomen u zkoušky a popíše postoje končetin a vady pohybu pomocí obrazové dokumentace nebo videí.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koní k potažní práci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kritérií,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Zapřahání a řízení potahů při provozování prací v zemědělské výrobě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kriterií) je nutné z časových a bezpečnostních důvodů použít zaučené koně.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29.9.2026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ŠCHK-KUBIŠTA,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republiky, zapsaný spolek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Jíří Zasadil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František Král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29.9.2026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