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C7FAB" Type="http://schemas.openxmlformats.org/officeDocument/2006/relationships/officeDocument" Target="/word/document.xml" /><Relationship Id="coreR4BDC7FAB" Type="http://schemas.openxmlformats.org/package/2006/relationships/metadata/core-properties" Target="/docProps/core.xml" /><Relationship Id="customR4BDC7F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všechny kategorie koní dle věku a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koní k potažní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Zapřahání a řízení potahů při provozování prací v zemědělské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Celkový počet otázek musí být 30. Zadání testu včetně odpovědí uchazeče je součástí záznamů o průběhu a výsledku zkoušky a bude uchováváno v souladu s § 8 vyhlášky č. 208/2007 Sb., o podrobnostech stanovených k provedení zákona o uznávání výsledků dalšího vzdělávání, ve znění pozdějších předpisů.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práci s koňmi je třeba hodnotit přístup ke zvířatům a respektování zásad pohody zvířat (welfare). Při demonstraci práce s koněm (kompetence "Základní výcvik koní k potažní práci" u všech kritérií, kompetence "Zapřahání a řízení potahů při provozování prací v zemědělské výrobě" u všech kriterií) je nutné z časových a bezpečnostních důvodů použít zaučeného koně. 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klidu, v kroku a v klusu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postrojování a otahování mladého koně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jízdu v lehké nebo těžké zápřeži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České republiky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koní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JK Heroutice - Miloslav Perníček,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-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