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1ACC3" Type="http://schemas.openxmlformats.org/officeDocument/2006/relationships/officeDocument" Target="/word/document.xml" /><Relationship Id="coreR26B1ACC3" Type="http://schemas.openxmlformats.org/package/2006/relationships/metadata/core-properties" Target="/docProps/core.xml" /><Relationship Id="customR26B1AC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všechny kategorie koní dle věku a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koní k potažní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Zapřahání a řízení potahů při provozování prací v zemědělské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2:49:10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Celkový počet otázek musí být 30. Zadání testu včetně odpovědí uchazeče je součástí záznamů o průběhu a výsledku zkoušky a bude uchováváno v souladu s § 8 vyhlášky č. 208/2007 Sb., o podrobnostech stanovených k provedení zákona o uznávání výsledků dalšího vzdělávání, ve znění pozdějších předpisů.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práci s koňmi je třeba hodnotit přístup ke zvířatům a respektování zásad pohody zvířat (welfare). Při demonstraci práce s koněm (kompetence "Základní výcvik koní k potažní práci" u všech kritérií, kompetence "Zapřahání a řízení potahů při provozování prací v zemědělské výrobě" u všech kriterií) je nutné z časových a bezpečnostních důvodů použít zaučeného koně. 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postrojování a otahování mladého koně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jízdu v lehké nebo těžké zápřeži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2:49:10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České republiky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koní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JK Heroutice - Miloslav Perníček,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-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2:49:10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