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449AB3" Type="http://schemas.openxmlformats.org/officeDocument/2006/relationships/officeDocument" Target="/word/document.xml" /><Relationship Id="coreR50449AB3" Type="http://schemas.openxmlformats.org/package/2006/relationships/metadata/core-properties" Target="/docProps/core.xml" /><Relationship Id="customR50449AB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Detašér čistírny a prádelny (kód: 31-027-H)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Zkoušení vlastností a identifikace základních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základního přístrojového a nástrojového vybavení detašovacího pracoviště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Detašování textilií různými způsoby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postupů předkartáčování, předdetaše a detaše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Retušování textilních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Detašování choulostivých materiálů a inteligentních textilií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sortimentu textilních materiálů a výrobků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Rozeznat materiálové složení textilních vláken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Rozeznat základní druhy textilií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Začlenit výrobek podle druhového sortimentu textilních výrobků a oděvů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Začlenit výrobek podle velikostního sortimentu textilních výrobků a oděvů</w:t>
      </w:r>
    </w:p>
    <w:p>
      <w:pPr>
        <w:pStyle w:val="P30"/>
        <w:framePr w:w="3921" w:h="607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9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11"/>
        <w:rPr>
          <w:rStyle w:val="C11"/>
          <w:rtl w:val="0"/>
        </w:rPr>
      </w:pPr>
      <w:r>
        <w:rPr>
          <w:rStyle w:val="C11"/>
          <w:rtl w:val="0"/>
        </w:rPr>
        <w:t>e) Rozeznat výrobky z inteligentních (funkčních) textilií a výrobky sendvičové konstrukce</w:t>
      </w:r>
    </w:p>
    <w:p>
      <w:pPr>
        <w:pStyle w:val="P28"/>
        <w:framePr w:w="3921" w:h="607" w:hRule="exact" w:wrap="none" w:vAnchor="page" w:hAnchor="margin" w:x="6800" w:y="59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11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66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111"/>
        <w:rPr>
          <w:rStyle w:val="C18"/>
          <w:rtl w:val="0"/>
        </w:rPr>
      </w:pPr>
      <w:r>
        <w:rPr>
          <w:rStyle w:val="C18"/>
          <w:rtl w:val="0"/>
        </w:rPr>
        <w:t>Zkoušení vlastností a identifikace základních textilních materiálů</w:t>
      </w:r>
    </w:p>
    <w:p>
      <w:pPr>
        <w:pStyle w:val="P24"/>
        <w:framePr w:w="6713" w:h="376" w:hRule="exact" w:wrap="none" w:vAnchor="page" w:hAnchor="margin" w:x="45" w:y="755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2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5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2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926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982"/>
        <w:rPr>
          <w:rStyle w:val="C11"/>
          <w:rtl w:val="0"/>
        </w:rPr>
      </w:pPr>
      <w:r>
        <w:rPr>
          <w:rStyle w:val="C11"/>
          <w:rtl w:val="0"/>
        </w:rPr>
        <w:t>a) Provést základní zkoušky na určení vlastností přírodních vláken (bavlna, len, ramie, vlna, přírodní hedvábí), tj. provést zkoušku na určení druhu – rozpoznat podle vzhledu, provést zkoušky účinků tepla, kyselin, zásad, bělicích prostředků</w:t>
      </w:r>
    </w:p>
    <w:p>
      <w:pPr>
        <w:pStyle w:val="P28"/>
        <w:framePr w:w="3921" w:h="1055" w:hRule="exact" w:wrap="none" w:vAnchor="page" w:hAnchor="margin" w:x="6800" w:y="7926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98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1280" w:hRule="exact" w:wrap="none" w:vAnchor="page" w:hAnchor="margin" w:x="45" w:y="8981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9037"/>
        <w:rPr>
          <w:rStyle w:val="C13"/>
          <w:rtl w:val="0"/>
        </w:rPr>
      </w:pPr>
      <w:r>
        <w:rPr>
          <w:rStyle w:val="C13"/>
          <w:rtl w:val="0"/>
        </w:rPr>
        <w:t>b) Provést základní zkoušky na určení vlastností chemických vláken (viskózové hedvábí a střiž, měďnaté hedvábí, acetát (hedvábí a střiž), triacetát (hedvábí a střiž), polynosické hedvábí), tj. provést zkoušku na určení druhu – rozpoznat podle vzhledu, provést zkoušky účinků tepla, kyselin, zásad, bělicích prostředků</w:t>
      </w:r>
    </w:p>
    <w:p>
      <w:pPr>
        <w:pStyle w:val="P30"/>
        <w:framePr w:w="3921" w:h="1280" w:hRule="exact" w:wrap="none" w:vAnchor="page" w:hAnchor="margin" w:x="6800" w:y="8981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903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1504" w:hRule="exact" w:wrap="none" w:vAnchor="page" w:hAnchor="margin" w:x="45" w:y="10261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10317"/>
        <w:rPr>
          <w:rStyle w:val="C11"/>
          <w:rtl w:val="0"/>
        </w:rPr>
      </w:pPr>
      <w:r>
        <w:rPr>
          <w:rStyle w:val="C11"/>
          <w:rtl w:val="0"/>
        </w:rPr>
        <w:t>c) Provést základní zkoušky na určení vlastností vláken ze syntetických polymerů (polyamidy, polyestery, polyakrylonitril, polyvinylchlorid, polyvinylalkohol (PVA Vinylon, typ Kuralon), polypropylen, polyuretan, Spasndex a jiná elastomerová vlákna apod.), tj. provést zkoušku na určení druhu – rozpoznat podle vzhledu, provést zkoušky účinků tepla, kyselin, zásad, bělicích prostředků</w:t>
      </w:r>
    </w:p>
    <w:p>
      <w:pPr>
        <w:pStyle w:val="P28"/>
        <w:framePr w:w="3921" w:h="1504" w:hRule="exact" w:wrap="none" w:vAnchor="page" w:hAnchor="margin" w:x="6800" w:y="10261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1031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878"/>
        <w:rPr>
          <w:rStyle w:val="C23"/>
          <w:rtl w:val="0"/>
        </w:rPr>
      </w:pPr>
      <w:r>
        <w:rPr>
          <w:rStyle w:val="C23"/>
          <w:rtl w:val="0"/>
        </w:rPr>
        <w:t>Je třeba splnit všechna kritéria a provést zkoušky pro jeden zvolený materiál pro každé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Obsluha základního přístrojového a nástrojového vybavení detašovacího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detašovací stůl (box)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základní detašovací pomůcky a nástroje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Použít kombinovanou detašovací pistoli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Použít a regulovat vzduchovou pistoli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Použít a regulovat parní pistoli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Roztřídit základní detašovací chemikálie podle způsobu použití na různé skvrny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66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67"/>
        <w:rPr>
          <w:rStyle w:val="C11"/>
          <w:rtl w:val="0"/>
        </w:rPr>
      </w:pPr>
      <w:r>
        <w:rPr>
          <w:rStyle w:val="C11"/>
          <w:rtl w:val="0"/>
        </w:rPr>
        <w:t>g) Roztřídit polyfunkční detašovací chemikálie podle způsobu použití na různé skvrny</w:t>
      </w:r>
    </w:p>
    <w:p>
      <w:pPr>
        <w:pStyle w:val="P28"/>
        <w:framePr w:w="3921" w:h="607" w:hRule="exact" w:wrap="none" w:vAnchor="page" w:hAnchor="margin" w:x="6800" w:y="66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</w:t>
      </w:r>
    </w:p>
    <w:p>
      <w:pPr>
        <w:pStyle w:val="P16"/>
        <w:framePr w:w="6710" w:h="607" w:hRule="exact" w:wrap="none" w:vAnchor="page" w:hAnchor="margin" w:x="45" w:y="721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74"/>
        <w:rPr>
          <w:rStyle w:val="C13"/>
          <w:rtl w:val="0"/>
        </w:rPr>
      </w:pPr>
      <w:r>
        <w:rPr>
          <w:rStyle w:val="C13"/>
          <w:rtl w:val="0"/>
        </w:rPr>
        <w:t>h) Použít ultrazvukovou detašovací pistoli</w:t>
      </w:r>
    </w:p>
    <w:p>
      <w:pPr>
        <w:pStyle w:val="P30"/>
        <w:framePr w:w="3921" w:h="607" w:hRule="exact" w:wrap="none" w:vAnchor="page" w:hAnchor="margin" w:x="6800" w:y="721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74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79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74"/>
        <w:rPr>
          <w:rStyle w:val="C18"/>
          <w:rtl w:val="0"/>
        </w:rPr>
      </w:pPr>
      <w:r>
        <w:rPr>
          <w:rStyle w:val="C18"/>
          <w:rtl w:val="0"/>
        </w:rPr>
        <w:t>Detašování textilií různými způsoby</w:t>
      </w:r>
    </w:p>
    <w:p>
      <w:pPr>
        <w:pStyle w:val="P24"/>
        <w:framePr w:w="6713" w:h="376" w:hRule="exact" w:wrap="none" w:vAnchor="page" w:hAnchor="margin" w:x="45" w:y="881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8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1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8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8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45"/>
        <w:rPr>
          <w:rStyle w:val="C11"/>
          <w:rtl w:val="0"/>
        </w:rPr>
      </w:pPr>
      <w:r>
        <w:rPr>
          <w:rStyle w:val="C11"/>
          <w:rtl w:val="0"/>
        </w:rPr>
        <w:t>a) Stanovit postup a použít mechanickou detaš pro vyčištění skvrny</w:t>
      </w:r>
    </w:p>
    <w:p>
      <w:pPr>
        <w:pStyle w:val="P28"/>
        <w:framePr w:w="3921" w:h="607" w:hRule="exact" w:wrap="none" w:vAnchor="page" w:hAnchor="margin" w:x="6800" w:y="918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45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979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52"/>
        <w:rPr>
          <w:rStyle w:val="C13"/>
          <w:rtl w:val="0"/>
        </w:rPr>
      </w:pPr>
      <w:r>
        <w:rPr>
          <w:rStyle w:val="C13"/>
          <w:rtl w:val="0"/>
        </w:rPr>
        <w:t>b) Stanovit postup a použít rozpouštědlovou a emulgační detaš pro vyčištění skvrny</w:t>
      </w:r>
    </w:p>
    <w:p>
      <w:pPr>
        <w:pStyle w:val="P30"/>
        <w:framePr w:w="3921" w:h="607" w:hRule="exact" w:wrap="none" w:vAnchor="page" w:hAnchor="margin" w:x="6800" w:y="979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52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607" w:hRule="exact" w:wrap="none" w:vAnchor="page" w:hAnchor="margin" w:x="45" w:y="10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59"/>
        <w:rPr>
          <w:rStyle w:val="C11"/>
          <w:rtl w:val="0"/>
        </w:rPr>
      </w:pPr>
      <w:r>
        <w:rPr>
          <w:rStyle w:val="C11"/>
          <w:rtl w:val="0"/>
        </w:rPr>
        <w:t>c) Stanovit postup a použít chemickou detaš pro vyčištění skvrny</w:t>
      </w:r>
    </w:p>
    <w:p>
      <w:pPr>
        <w:pStyle w:val="P28"/>
        <w:framePr w:w="3921" w:h="607" w:hRule="exact" w:wrap="none" w:vAnchor="page" w:hAnchor="margin" w:x="6800" w:y="10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5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10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66"/>
        <w:rPr>
          <w:rStyle w:val="C13"/>
          <w:rtl w:val="0"/>
        </w:rPr>
      </w:pPr>
      <w:r>
        <w:rPr>
          <w:rStyle w:val="C13"/>
          <w:rtl w:val="0"/>
        </w:rPr>
        <w:t>d) Stanovit postup a použít enzymatickou detaš pro vyčištění skvrny</w:t>
      </w:r>
    </w:p>
    <w:p>
      <w:pPr>
        <w:pStyle w:val="P30"/>
        <w:framePr w:w="3921" w:h="607" w:hRule="exact" w:wrap="none" w:vAnchor="page" w:hAnchor="margin" w:x="6800" w:y="110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66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117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postupů předkartáčování, předdetaše a detaše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předkartáčování na oděvní součásti a identifikovat materiály, u kterých se předkartáčování nesmí provádět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Připravit mísením a ředěním vhodný chemický roztok pro předkartáčování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Provést předdetaš na oděvní součásti a skvrně a zvolit vhodný detašovací prostředek a technologický postup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detaš na oděvní součásti a skvrně a zvolit vhodný detašovací prostředek a technologický postup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Provést tzv. „malou detaš“ na oděvní součásti a skvrně a zvolit vhodný detašovací prostředek a technologický postup</w:t>
      </w:r>
    </w:p>
    <w:p>
      <w:pPr>
        <w:pStyle w:val="P28"/>
        <w:framePr w:w="3921" w:h="607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Provést tzv. „velkou detaš“ na oděvní součásti a skvrně a zvolit vhodný detašovací prostředek a technologický postup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Identifikovat základní druhy nečistot a skvrn, stanovit nečistoty polární a nepolární</w:t>
      </w:r>
    </w:p>
    <w:p>
      <w:pPr>
        <w:pStyle w:val="P28"/>
        <w:framePr w:w="3921" w:h="607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16"/>
        <w:framePr w:w="6710" w:h="376" w:hRule="exact" w:wrap="none" w:vAnchor="page" w:hAnchor="margin" w:x="45" w:y="6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43"/>
        <w:rPr>
          <w:rStyle w:val="C13"/>
          <w:rtl w:val="0"/>
        </w:rPr>
      </w:pPr>
      <w:r>
        <w:rPr>
          <w:rStyle w:val="C13"/>
          <w:rtl w:val="0"/>
        </w:rPr>
        <w:t>h) Detašovat tzv. „rychlou špínu“</w:t>
      </w:r>
    </w:p>
    <w:p>
      <w:pPr>
        <w:pStyle w:val="P30"/>
        <w:framePr w:w="3921" w:h="376" w:hRule="exact" w:wrap="none" w:vAnchor="page" w:hAnchor="margin" w:x="6800" w:y="6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3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19"/>
        <w:rPr>
          <w:rStyle w:val="C11"/>
          <w:rtl w:val="0"/>
        </w:rPr>
      </w:pPr>
      <w:r>
        <w:rPr>
          <w:rStyle w:val="C11"/>
          <w:rtl w:val="0"/>
        </w:rPr>
        <w:t>i) Detašovat tzv. „pomalou špínu“</w:t>
      </w:r>
    </w:p>
    <w:p>
      <w:pPr>
        <w:pStyle w:val="P28"/>
        <w:framePr w:w="3921" w:h="376" w:hRule="exact" w:wrap="none" w:vAnchor="page" w:hAnchor="margin" w:x="6800" w:y="73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96"/>
        <w:rPr>
          <w:rStyle w:val="C13"/>
          <w:rtl w:val="0"/>
        </w:rPr>
      </w:pPr>
      <w:r>
        <w:rPr>
          <w:rStyle w:val="C13"/>
          <w:rtl w:val="0"/>
        </w:rPr>
        <w:t>j) Použít polární a nepolární rozpouštědlo pro různé druhy skvrn</w:t>
      </w:r>
    </w:p>
    <w:p>
      <w:pPr>
        <w:pStyle w:val="P30"/>
        <w:framePr w:w="3921" w:h="376" w:hRule="exact" w:wrap="none" w:vAnchor="page" w:hAnchor="margin" w:x="6800" w:y="77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Provést orientační zkoušku stálosti vybarvení na zvolené oděvní součásti v tzv. suchém otěru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Provést orientační zkoušku stálosti vybarvení na oděvní součásti v tzv. mokrém otěru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Provést orientační zkoušku stálosti vybarvení na oděvní součásti v tzv. rozpouštědlovém otěru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Provést orientační zkoušku srážlivosti např. na acetátovém žoržetu</w:t>
      </w:r>
    </w:p>
    <w:p>
      <w:pPr>
        <w:pStyle w:val="P30"/>
        <w:framePr w:w="3921" w:h="376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3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9"/>
        <w:rPr>
          <w:rStyle w:val="C11"/>
          <w:rtl w:val="0"/>
        </w:rPr>
      </w:pPr>
      <w:r>
        <w:rPr>
          <w:rStyle w:val="C11"/>
          <w:rtl w:val="0"/>
        </w:rPr>
        <w:t>o) Provést redukční bělení textilního materiálu</w:t>
      </w:r>
    </w:p>
    <w:p>
      <w:pPr>
        <w:pStyle w:val="P28"/>
        <w:framePr w:w="3921" w:h="376" w:hRule="exact" w:wrap="none" w:vAnchor="page" w:hAnchor="margin" w:x="6800" w:y="103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6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45"/>
        <w:rPr>
          <w:rStyle w:val="C13"/>
          <w:rtl w:val="0"/>
        </w:rPr>
      </w:pPr>
      <w:r>
        <w:rPr>
          <w:rStyle w:val="C13"/>
          <w:rtl w:val="0"/>
        </w:rPr>
        <w:t>p) Provést oxidační bělení textilního materiálu</w:t>
      </w:r>
    </w:p>
    <w:p>
      <w:pPr>
        <w:pStyle w:val="P30"/>
        <w:framePr w:w="3921" w:h="376" w:hRule="exact" w:wrap="none" w:vAnchor="page" w:hAnchor="margin" w:x="6800" w:y="106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4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21"/>
        <w:rPr>
          <w:rStyle w:val="C11"/>
          <w:rtl w:val="0"/>
        </w:rPr>
      </w:pPr>
      <w:r>
        <w:rPr>
          <w:rStyle w:val="C11"/>
          <w:rtl w:val="0"/>
        </w:rPr>
        <w:t>q) Provést antichloraci textilního materiálu</w:t>
      </w:r>
    </w:p>
    <w:p>
      <w:pPr>
        <w:pStyle w:val="P28"/>
        <w:framePr w:w="3921" w:h="376" w:hRule="exact" w:wrap="none" w:vAnchor="page" w:hAnchor="margin" w:x="6800" w:y="11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55"/>
        <w:rPr>
          <w:rStyle w:val="C23"/>
          <w:rtl w:val="0"/>
        </w:rPr>
      </w:pPr>
      <w:r>
        <w:rPr>
          <w:rStyle w:val="C23"/>
          <w:rtl w:val="0"/>
        </w:rPr>
        <w:t>Je třeba splnit minimálně 7 ze všech uvedených kritérií, výběr kritérií provede zkoušející.</w:t>
      </w:r>
    </w:p>
    <w:p>
      <w:pPr>
        <w:pStyle w:val="P23"/>
        <w:framePr w:w="10710" w:h="340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Retušování textilních materiálů</w:t>
      </w:r>
    </w:p>
    <w:p>
      <w:pPr>
        <w:pStyle w:val="P24"/>
        <w:framePr w:w="6713" w:h="376" w:hRule="exact" w:wrap="none" w:vAnchor="page" w:hAnchor="margin" w:x="45" w:y="124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8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862"/>
        <w:rPr>
          <w:rStyle w:val="C11"/>
          <w:rtl w:val="0"/>
        </w:rPr>
      </w:pPr>
      <w:r>
        <w:rPr>
          <w:rStyle w:val="C11"/>
          <w:rtl w:val="0"/>
        </w:rPr>
        <w:t>a) Zvolit podmínky a technologický postup pro retuš textilních materiálů</w:t>
      </w:r>
    </w:p>
    <w:p>
      <w:pPr>
        <w:pStyle w:val="P28"/>
        <w:framePr w:w="3921" w:h="607" w:hRule="exact" w:wrap="none" w:vAnchor="page" w:hAnchor="margin" w:x="6800" w:y="128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862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34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69"/>
        <w:rPr>
          <w:rStyle w:val="C13"/>
          <w:rtl w:val="0"/>
        </w:rPr>
      </w:pPr>
      <w:r>
        <w:rPr>
          <w:rStyle w:val="C13"/>
          <w:rtl w:val="0"/>
        </w:rPr>
        <w:t>b) Volit běžné prostředky pro retuš podle druhu textilních materiálů</w:t>
      </w:r>
    </w:p>
    <w:p>
      <w:pPr>
        <w:pStyle w:val="P30"/>
        <w:framePr w:w="3921" w:h="376" w:hRule="exact" w:wrap="none" w:vAnchor="page" w:hAnchor="margin" w:x="6800" w:y="134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7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845"/>
        <w:rPr>
          <w:rStyle w:val="C11"/>
          <w:rtl w:val="0"/>
        </w:rPr>
      </w:pPr>
      <w:r>
        <w:rPr>
          <w:rStyle w:val="C11"/>
          <w:rtl w:val="0"/>
        </w:rPr>
        <w:t>c) Provést retuš na textilním materiálu</w:t>
      </w:r>
    </w:p>
    <w:p>
      <w:pPr>
        <w:pStyle w:val="P28"/>
        <w:framePr w:w="3921" w:h="376" w:hRule="exact" w:wrap="none" w:vAnchor="page" w:hAnchor="margin" w:x="6800" w:y="137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84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Detašování choulostivých materiálů a inteligentních textilií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detaš vlněné tkaniny se zvolením chemických detašovacích roztoků a přístrojového vybavení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Provést detaš přírodního hedvábí, regenerované celulózy a vlněné tkaniny se zvolením chemických detašovacích roztoků a přístrojového vybavení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1055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Provést detaš mastné skvrny na péřovém výrobku s rubovým zátěrem a hydrofobní úpravou se zvolením chemických detašovacích roztoků a přístrojového vybavení pro péřové výrobky a zvolit technologický postup následného ošetření výrobku</w:t>
      </w:r>
    </w:p>
    <w:p>
      <w:pPr>
        <w:pStyle w:val="P28"/>
        <w:framePr w:w="3921" w:h="1055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523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295"/>
        <w:rPr>
          <w:rStyle w:val="C13"/>
          <w:rtl w:val="0"/>
        </w:rPr>
      </w:pPr>
      <w:r>
        <w:rPr>
          <w:rStyle w:val="C13"/>
          <w:rtl w:val="0"/>
        </w:rPr>
        <w:t>d) Provést detaš pánského saka s frontální fixací se zvolením chemických detašovacích roztoků a přístrojového vybavení a zvolit vhodný technologický postup následného ošetření výrobku</w:t>
      </w:r>
    </w:p>
    <w:p>
      <w:pPr>
        <w:pStyle w:val="P30"/>
        <w:framePr w:w="3921" w:h="831" w:hRule="exact" w:wrap="none" w:vAnchor="page" w:hAnchor="margin" w:x="6800" w:y="523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295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e) Provést detaš zátěrového materiálu se zvolením chemických detašovacích roztoků a přístrojového vybavení a zvolit technologický postup následného ošetření výrobku</w:t>
      </w:r>
    </w:p>
    <w:p>
      <w:pPr>
        <w:pStyle w:val="P28"/>
        <w:framePr w:w="3921" w:h="831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831" w:hRule="exact" w:wrap="none" w:vAnchor="page" w:hAnchor="margin" w:x="45" w:y="69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957"/>
        <w:rPr>
          <w:rStyle w:val="C13"/>
          <w:rtl w:val="0"/>
        </w:rPr>
      </w:pPr>
      <w:r>
        <w:rPr>
          <w:rStyle w:val="C13"/>
          <w:rtl w:val="0"/>
        </w:rPr>
        <w:t>f) Provést detaš sendvičového materiálu se zvolením chemických detašovacích roztoků a přístrojového vybavení a zvolit technologický postup následného ošetření výrobku</w:t>
      </w:r>
    </w:p>
    <w:p>
      <w:pPr>
        <w:pStyle w:val="P30"/>
        <w:framePr w:w="3921" w:h="831" w:hRule="exact" w:wrap="none" w:vAnchor="page" w:hAnchor="margin" w:x="6800" w:y="69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957"/>
        <w:rPr>
          <w:rStyle w:val="C22"/>
          <w:rtl w:val="0"/>
        </w:rPr>
      </w:pPr>
      <w:r>
        <w:rPr>
          <w:rStyle w:val="C22"/>
          <w:rtl w:val="0"/>
        </w:rPr>
        <w:t>Praktické předvedení se slovním zdůvodněním</w:t>
      </w:r>
    </w:p>
    <w:p>
      <w:pPr>
        <w:pStyle w:val="P12"/>
        <w:framePr w:w="6710" w:h="831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Provést detaš membránového materiálu se zvolením chemických detašovacích roztoků a přístrojového vybavení a zvolit technologický postup následného ošetření výrobku</w:t>
      </w:r>
    </w:p>
    <w:p>
      <w:pPr>
        <w:pStyle w:val="P28"/>
        <w:framePr w:w="3921" w:h="831" w:hRule="exact" w:wrap="none" w:vAnchor="page" w:hAnchor="margin" w:x="6800" w:y="77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32"/>
        <w:framePr w:w="10710" w:h="248" w:hRule="exact" w:wrap="none" w:vAnchor="page" w:hAnchor="margin" w:x="28" w:y="8676"/>
        <w:rPr>
          <w:rStyle w:val="C23"/>
          <w:rtl w:val="0"/>
        </w:rPr>
      </w:pPr>
      <w:r>
        <w:rPr>
          <w:rStyle w:val="C23"/>
          <w:rtl w:val="0"/>
        </w:rPr>
        <w:t>Je třeba splnit všechna kritéria. U kritéria b) zvolí zkoušející jeden druh materiálu.</w:t>
      </w:r>
    </w:p>
    <w:p>
      <w:pPr>
        <w:pStyle w:val="P23"/>
        <w:framePr w:w="10710" w:h="340" w:hRule="exact" w:wrap="none" w:vAnchor="page" w:hAnchor="margin" w:x="28" w:y="9112"/>
        <w:rPr>
          <w:rStyle w:val="C18"/>
          <w:rtl w:val="0"/>
        </w:rPr>
      </w:pPr>
      <w:r>
        <w:rPr>
          <w:rStyle w:val="C18"/>
          <w:rtl w:val="0"/>
        </w:rPr>
        <w:t>Dodržování zásad bezpečnosti a ochrany zdraví při práci</w:t>
      </w:r>
    </w:p>
    <w:p>
      <w:pPr>
        <w:pStyle w:val="P24"/>
        <w:framePr w:w="6713" w:h="376" w:hRule="exact" w:wrap="none" w:vAnchor="page" w:hAnchor="margin" w:x="45" w:y="95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84"/>
        <w:rPr>
          <w:rStyle w:val="C11"/>
          <w:rtl w:val="0"/>
        </w:rPr>
      </w:pPr>
      <w:r>
        <w:rPr>
          <w:rStyle w:val="C11"/>
          <w:rtl w:val="0"/>
        </w:rPr>
        <w:t>a) Identifikovat kritická místa v provozu pro vznik úrazů elektrickým proudem</w:t>
      </w:r>
    </w:p>
    <w:p>
      <w:pPr>
        <w:pStyle w:val="P28"/>
        <w:framePr w:w="3921" w:h="607" w:hRule="exact" w:wrap="none" w:vAnchor="page" w:hAnchor="margin" w:x="6800" w:y="99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05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90"/>
        <w:rPr>
          <w:rStyle w:val="C13"/>
          <w:rtl w:val="0"/>
        </w:rPr>
      </w:pPr>
      <w:r>
        <w:rPr>
          <w:rStyle w:val="C13"/>
          <w:rtl w:val="0"/>
        </w:rPr>
        <w:t>b) Dodržovat zásady bezpečnosti práce s elektrickými stroji a zařízeními</w:t>
      </w:r>
    </w:p>
    <w:p>
      <w:pPr>
        <w:pStyle w:val="P30"/>
        <w:framePr w:w="3921" w:h="376" w:hRule="exact" w:wrap="none" w:vAnchor="page" w:hAnchor="margin" w:x="6800" w:y="105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90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09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967"/>
        <w:rPr>
          <w:rStyle w:val="C11"/>
          <w:rtl w:val="0"/>
        </w:rPr>
      </w:pPr>
      <w:r>
        <w:rPr>
          <w:rStyle w:val="C11"/>
          <w:rtl w:val="0"/>
        </w:rPr>
        <w:t>c) Identifikovat kritická místa v provozu pro vznik úrazů popálením nebo opařením</w:t>
      </w:r>
    </w:p>
    <w:p>
      <w:pPr>
        <w:pStyle w:val="P28"/>
        <w:framePr w:w="3921" w:h="607" w:hRule="exact" w:wrap="none" w:vAnchor="page" w:hAnchor="margin" w:x="6800" w:y="1091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967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15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74"/>
        <w:rPr>
          <w:rStyle w:val="C13"/>
          <w:rtl w:val="0"/>
        </w:rPr>
      </w:pPr>
      <w:r>
        <w:rPr>
          <w:rStyle w:val="C13"/>
          <w:rtl w:val="0"/>
        </w:rPr>
        <w:t>d) Dodržovat zásady bezpečnosti práce s tepelnými stroji a zařízením</w:t>
      </w:r>
    </w:p>
    <w:p>
      <w:pPr>
        <w:pStyle w:val="P30"/>
        <w:framePr w:w="3921" w:h="376" w:hRule="exact" w:wrap="none" w:vAnchor="page" w:hAnchor="margin" w:x="6800" w:y="115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74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e) Identifikovat kritická místa v provozu pro vznik úrazů souvisejících s nebezpečnými chemickými látkami</w:t>
      </w:r>
    </w:p>
    <w:p>
      <w:pPr>
        <w:pStyle w:val="P28"/>
        <w:framePr w:w="3921" w:h="607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7"/>
        <w:rPr>
          <w:rStyle w:val="C13"/>
          <w:rtl w:val="0"/>
        </w:rPr>
      </w:pPr>
      <w:r>
        <w:rPr>
          <w:rStyle w:val="C13"/>
          <w:rtl w:val="0"/>
        </w:rPr>
        <w:t>f) Dodržovat zásady bezpečnosti práce s nebezpečnými chemickými látkami</w:t>
      </w:r>
    </w:p>
    <w:p>
      <w:pPr>
        <w:pStyle w:val="P30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7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28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33"/>
        <w:rPr>
          <w:rStyle w:val="C11"/>
          <w:rtl w:val="0"/>
        </w:rPr>
      </w:pPr>
      <w:r>
        <w:rPr>
          <w:rStyle w:val="C11"/>
          <w:rtl w:val="0"/>
        </w:rPr>
        <w:t>g) Identifikovat kritická místa v provozu pro vznik požáru</w:t>
      </w:r>
    </w:p>
    <w:p>
      <w:pPr>
        <w:pStyle w:val="P28"/>
        <w:framePr w:w="3921" w:h="607" w:hRule="exact" w:wrap="none" w:vAnchor="page" w:hAnchor="margin" w:x="6800" w:y="128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33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376" w:hRule="exact" w:wrap="none" w:vAnchor="page" w:hAnchor="margin" w:x="45" w:y="134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40"/>
        <w:rPr>
          <w:rStyle w:val="C13"/>
          <w:rtl w:val="0"/>
        </w:rPr>
      </w:pPr>
      <w:r>
        <w:rPr>
          <w:rStyle w:val="C13"/>
          <w:rtl w:val="0"/>
        </w:rPr>
        <w:t>h) Dodržovat zásady požární prevence a postup činností při vzniku požáru</w:t>
      </w:r>
    </w:p>
    <w:p>
      <w:pPr>
        <w:pStyle w:val="P30"/>
        <w:framePr w:w="3921" w:h="376" w:hRule="exact" w:wrap="none" w:vAnchor="page" w:hAnchor="margin" w:x="6800" w:y="134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40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607" w:hRule="exact" w:wrap="none" w:vAnchor="page" w:hAnchor="margin" w:x="45" w:y="138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916"/>
        <w:rPr>
          <w:rStyle w:val="C11"/>
          <w:rtl w:val="0"/>
        </w:rPr>
      </w:pPr>
      <w:r>
        <w:rPr>
          <w:rStyle w:val="C11"/>
          <w:rtl w:val="0"/>
        </w:rPr>
        <w:t>i) Identifikovat kritická místa v provozu pro vznik ostatních úrazů, např. úrazy pohybujícími se částmi strojů, pádem z výšky apod.</w:t>
      </w:r>
    </w:p>
    <w:p>
      <w:pPr>
        <w:pStyle w:val="P28"/>
        <w:framePr w:w="3921" w:h="607" w:hRule="exact" w:wrap="none" w:vAnchor="page" w:hAnchor="margin" w:x="6800" w:y="138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916"/>
        <w:rPr>
          <w:rStyle w:val="C21"/>
          <w:rtl w:val="0"/>
        </w:rPr>
      </w:pPr>
      <w:r>
        <w:rPr>
          <w:rStyle w:val="C21"/>
          <w:rtl w:val="0"/>
        </w:rPr>
        <w:t>Praktické předvedení se slovním zdůvodněním</w:t>
      </w:r>
    </w:p>
    <w:p>
      <w:pPr>
        <w:pStyle w:val="P16"/>
        <w:framePr w:w="6710" w:h="607" w:hRule="exact" w:wrap="none" w:vAnchor="page" w:hAnchor="margin" w:x="45" w:y="144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523"/>
        <w:rPr>
          <w:rStyle w:val="C13"/>
          <w:rtl w:val="0"/>
        </w:rPr>
      </w:pPr>
      <w:r>
        <w:rPr>
          <w:rStyle w:val="C13"/>
          <w:rtl w:val="0"/>
        </w:rPr>
        <w:t>j) Dodržovat zásady bezpečnosti práce pro předcházení vzniku ostatních úrazů</w:t>
      </w:r>
    </w:p>
    <w:p>
      <w:pPr>
        <w:pStyle w:val="P30"/>
        <w:framePr w:w="3921" w:h="607" w:hRule="exact" w:wrap="none" w:vAnchor="page" w:hAnchor="margin" w:x="6800" w:y="144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523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32"/>
        <w:framePr w:w="10710" w:h="248" w:hRule="exact" w:wrap="none" w:vAnchor="page" w:hAnchor="margin" w:x="28" w:y="151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 V případě požadavku nakreslení schématu, uchazeč tak učiní formou náčrtu na předem označený list čtverečkovaného papíru, přičemž není třeba používat pravítko ani jiné pomůcky.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33"/>
        <w:framePr w:w="10766" w:h="1837" w:hRule="exact" w:wrap="none" w:vAnchor="page" w:hAnchor="margin" w:x="0" w:y="73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6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kompetenci a výsledek zapisuje do klasifikačního zápisu o zkoušce. Výsledné hodnocení pro danou kompetenci musí znít „vyhověl“ nebo „nevyhověl“ v závislosti na stanovení závaznosti, resp. nezávaznosti jednotlivých kritérií u každé kompetence. Návrh na výsledné hodnocení zkoušky zní buď „vyhověl“, pokud uchazeč vyhověl pro všechny kompetence, nebo „nevyhověl“, pokud uchazeč pro některou kompetenci nevyhověl.</w:t>
      </w:r>
    </w:p>
    <w:p>
      <w:pPr>
        <w:pStyle w:val="P33"/>
        <w:framePr w:w="10766" w:h="916" w:hRule="exact" w:wrap="none" w:vAnchor="page" w:hAnchor="margin" w:x="0" w:y="941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1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7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chemik prádelen a čistíren + střední vzdělání s maturitní zkouškou (v jiném oboru vzdělání) a alespoň 10 let praxe jako osoba odpovědná v oblasti praní a chemického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textilním, oděvním, chemickým, strojírenským, elektrotechnickým nebo ekonomickým + alespoň 5 let praxe jako osoba odpovědná za činnosti v oblasti praní a chemické čištění oděvů nebo ve funkci učitele odborných předmětů nebo odborného výcviku, z toho minimálně pět let v období posledních sedmi letech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5101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provozovnu chemické čistírny oděvů a mokrého čištění vybavenou na patřičné úrovni, tzn. minimálně následující materiálně-technické vybavení: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čistírna oděvů, která zajišťuje stálý příjem zakázek v provozovně a současně zajišťuje pravidelný svoz zakázek ze smluvních sběren zakázek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provoz, který eviduje zakázky také elektronickou formou 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chemickým čisticím strojem na bázi PER (perchloretylén) se záchytem koncentrovaných par PER nebo chemickým čisticím strojem na bázi KWL; současně musí být provoz vybaven technologií pro mokré čištění, tj. pracím a sušicím strojem včetně potřebných pracích prostředků pro mokré čištění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detašovacím stolem (nebo boxem) s kombinovanou detašovací a parní pistolí, kompletní sadou jednoúčelových i polyfunkčních detašovacích prostředků, sadou zkušebních textilních vzorků používaných oděvních materiálů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žehlicím stolem pro studené žehlení (tj. s odsáváním par ze žehlicího stolu), žehlicí napařovací figurínou a žehlicím lisem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 vybavený pracím strojem s odstřeďováním (wash-extraktorem) a sušicím strojem pro běžné praní a sušení zakázek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materiálně-technického vybavení pro účely zkoušky. Pokud žadatel bude při zkouškách využívat materiálně-technické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463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63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497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přípravy na zkoušku (včetně případných časů, kdy se uchazeč připravuje během zkoušky) je 10 až 15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délka trvání vlastní zkoušky bez přestávek je 8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Detašér čistírny a prádelny, 20.10.2026 10:42:22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