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3DA299" Type="http://schemas.openxmlformats.org/officeDocument/2006/relationships/officeDocument" Target="/word/document.xml" /><Relationship Id="coreR133DA299" Type="http://schemas.openxmlformats.org/package/2006/relationships/metadata/core-properties" Target="/docProps/core.xml" /><Relationship Id="customR133DA2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karamelových a kandytových výrobků (kód: 29-015-H)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karamelových a kandytových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karamelových a kandytových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karamelových a kandytových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karamelových a kandytových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použití karamelové a kandytové hmoty na speciální karamelové ozdoby a kandytové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karamelové a kandytové hmoty, výroba ozdob, zdobení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Uchovávání karamelových a kandytových výrobků, balení a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cukrovinkářských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karamelových a kandytových výrobků, 30.9.2026 6:54:00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karamelové ozdoby nebo kandytového výrobku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 (jeden kandytový a jeden karamelový), množství (počet) výrobků určí zkoušející.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karamelových a kandytových výrobků, 30.9.2026 6:54:00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karamelových a kandytových výrobků, 30.9.2026 6:54:00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