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7C38A0" Type="http://schemas.openxmlformats.org/officeDocument/2006/relationships/officeDocument" Target="/word/document.xml" /><Relationship Id="coreR767C38A0" Type="http://schemas.openxmlformats.org/package/2006/relationships/metadata/core-properties" Target="/docProps/core.xml" /><Relationship Id="customR767C38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Provádění ochrany a ostrahy majetku a osob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zásad ochrany a ostrahy majetku a osob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ustanovení příslušných zákonů, nařízení a vyhlášek, které vymezují pravomoci, odpovědnost a způsob činnosti při ostraze a ochraně majetku a osob</w:t>
      </w:r>
    </w:p>
    <w:p>
      <w:pPr>
        <w:pStyle w:val="P30"/>
        <w:framePr w:w="3921" w:h="831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73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1"/>
        <w:rPr>
          <w:rStyle w:val="C11"/>
          <w:rtl w:val="0"/>
        </w:rPr>
      </w:pPr>
      <w:r>
        <w:rPr>
          <w:rStyle w:val="C11"/>
          <w:rtl w:val="0"/>
        </w:rPr>
        <w:t>c) Prokázat znalost zásad bezpečnosti, požární ochrany, ochrany života a zdraví osob a ochrany životního prostředí, předcházení vzniku požáru a technickým a ekologickým haváriím a zásad činnosti při úrazu</w:t>
      </w:r>
    </w:p>
    <w:p>
      <w:pPr>
        <w:pStyle w:val="P28"/>
        <w:framePr w:w="3921" w:h="831" w:hRule="exact" w:wrap="none" w:vAnchor="page" w:hAnchor="margin" w:x="6800" w:y="473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1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5679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6115"/>
        <w:rPr>
          <w:rStyle w:val="C18"/>
          <w:rtl w:val="0"/>
        </w:rPr>
      </w:pPr>
      <w:r>
        <w:rPr>
          <w:rStyle w:val="C18"/>
          <w:rtl w:val="0"/>
        </w:rPr>
        <w:t>Obsluhování technických bezpečnostních systémů</w:t>
      </w:r>
    </w:p>
    <w:p>
      <w:pPr>
        <w:pStyle w:val="P24"/>
        <w:framePr w:w="6713" w:h="376" w:hRule="exact" w:wrap="none" w:vAnchor="page" w:hAnchor="margin" w:x="45" w:y="65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9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86"/>
        <w:rPr>
          <w:rStyle w:val="C11"/>
          <w:rtl w:val="0"/>
        </w:rPr>
      </w:pPr>
      <w:r>
        <w:rPr>
          <w:rStyle w:val="C11"/>
          <w:rtl w:val="0"/>
        </w:rPr>
        <w:t>a) Prokázat znalost obecných zásad konstrukce, použití a obsluhy technických bezpečnostních systémů při jejich nasazení k ostraze majetku a osob</w:t>
      </w:r>
    </w:p>
    <w:p>
      <w:pPr>
        <w:pStyle w:val="P28"/>
        <w:framePr w:w="3921" w:h="831" w:hRule="exact" w:wrap="none" w:vAnchor="page" w:hAnchor="margin" w:x="6800" w:y="69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8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17"/>
        <w:rPr>
          <w:rStyle w:val="C13"/>
          <w:rtl w:val="0"/>
        </w:rPr>
      </w:pPr>
      <w:r>
        <w:rPr>
          <w:rStyle w:val="C13"/>
          <w:rtl w:val="0"/>
        </w:rPr>
        <w:t>b) Prokázat znalost zásad ochrany osobních údajů při jejich zpracování technickými bezpečnostními systémy</w:t>
      </w:r>
    </w:p>
    <w:p>
      <w:pPr>
        <w:pStyle w:val="P30"/>
        <w:framePr w:w="3921" w:h="607" w:hRule="exact" w:wrap="none" w:vAnchor="page" w:hAnchor="margin" w:x="6800" w:y="7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1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848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8917"/>
        <w:rPr>
          <w:rStyle w:val="C18"/>
          <w:rtl w:val="0"/>
        </w:rPr>
      </w:pPr>
      <w:r>
        <w:rPr>
          <w:rStyle w:val="C18"/>
          <w:rtl w:val="0"/>
        </w:rPr>
        <w:t>Uplatňování zásad součinnosti se složkami integrovaného záchranného systému, zejména s Policií ČR a vymezenými osobami</w:t>
      </w:r>
    </w:p>
    <w:p>
      <w:pPr>
        <w:pStyle w:val="P24"/>
        <w:framePr w:w="6713" w:h="376" w:hRule="exact" w:wrap="none" w:vAnchor="page" w:hAnchor="margin" w:x="45" w:y="95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6"/>
        <w:rPr>
          <w:rStyle w:val="C11"/>
          <w:rtl w:val="0"/>
        </w:rPr>
      </w:pPr>
      <w:r>
        <w:rPr>
          <w:rStyle w:val="C11"/>
          <w:rtl w:val="0"/>
        </w:rPr>
        <w:t>a) Prokázat znalost zásad součinnosti s Policií ČR a obecní policií při ostraze a ochraně majetku a osob podle platných ustanovení příslušných zákonů</w:t>
      </w:r>
    </w:p>
    <w:p>
      <w:pPr>
        <w:pStyle w:val="P28"/>
        <w:framePr w:w="3921" w:h="607" w:hRule="exact" w:wrap="none" w:vAnchor="page" w:hAnchor="margin" w:x="6800" w:y="99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105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03"/>
        <w:rPr>
          <w:rStyle w:val="C13"/>
          <w:rtl w:val="0"/>
        </w:rPr>
      </w:pPr>
      <w:r>
        <w:rPr>
          <w:rStyle w:val="C13"/>
          <w:rtl w:val="0"/>
        </w:rPr>
        <w:t>b) Prokázat znalost zásad součinnosti s hasičskými jednotkami, záchrannou službou a havarijními službami při odvracení škod na majetku a zdraví osob podle ustanovení příslušných zákonů, znát telefonní čísla tísňového volání</w:t>
      </w:r>
    </w:p>
    <w:p>
      <w:pPr>
        <w:pStyle w:val="P30"/>
        <w:framePr w:w="3921" w:h="831" w:hRule="exact" w:wrap="none" w:vAnchor="page" w:hAnchor="margin" w:x="6800" w:y="105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03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11491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Aplikování právních základů bezpečnostní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právních ustanoveních, která vymezují práva a svobody člověka, nedotknutelnost soukromí, ochranu osobnosti, důstojnosti a cti a právo na majetek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Orientovat se v občanském právu zejména v právních ustanoveních, která vymezují právo na přiměřenou ochranu proti zásahu do vlastnických práv a právo na přiměřenou obranu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Prokázat znalost základních ustanovení pracovního práva, zejména povinností zaměstnance a ustanovení, která se výkonu bezpečnostní činnosti bezprostředně týkají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1280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Prokázat znalost ustanovení trestního zákona, zákona o přestupcích a trestního řádu v rozsahu, který se bezprostředně týká výkonu činností a jejich aplikace do výkonu činnosti, zejména posouzení trestného činu a přestupku, právo na nutnou obranu, činnost v krajní nouzi, možnost omezení osobní svobody, povinnost ochrany stop a důkazů</w:t>
      </w:r>
    </w:p>
    <w:p>
      <w:pPr>
        <w:pStyle w:val="P30"/>
        <w:framePr w:w="3921" w:h="1280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e) Orientovat se v právních ustanoveních, která vymezují právo na držení a nošení zbraně při výkonu povolání</w:t>
      </w:r>
    </w:p>
    <w:p>
      <w:pPr>
        <w:pStyle w:val="P28"/>
        <w:framePr w:w="3921" w:h="607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f) Prokázat znalost ustanovení živnostenského zákona o podmínkách provozování a výkonu činnosti ostraha majetku a osob</w:t>
      </w:r>
    </w:p>
    <w:p>
      <w:pPr>
        <w:pStyle w:val="P30"/>
        <w:framePr w:w="3921" w:h="607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12"/>
        <w:framePr w:w="6710" w:h="607" w:hRule="exact" w:wrap="none" w:vAnchor="page" w:hAnchor="margin" w:x="45" w:y="79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12"/>
        <w:rPr>
          <w:rStyle w:val="C11"/>
          <w:rtl w:val="0"/>
        </w:rPr>
      </w:pPr>
      <w:r>
        <w:rPr>
          <w:rStyle w:val="C11"/>
          <w:rtl w:val="0"/>
        </w:rPr>
        <w:t>g) Prokázat znalost zásad ochrany osobních údajů při jejich zpracování při výkonu činnosti</w:t>
      </w:r>
    </w:p>
    <w:p>
      <w:pPr>
        <w:pStyle w:val="P28"/>
        <w:framePr w:w="3921" w:h="607" w:hRule="exact" w:wrap="none" w:vAnchor="page" w:hAnchor="margin" w:x="6800" w:y="79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12"/>
        <w:rPr>
          <w:rStyle w:val="C21"/>
          <w:rtl w:val="0"/>
        </w:rPr>
      </w:pPr>
      <w:r>
        <w:rPr>
          <w:rStyle w:val="C21"/>
          <w:rtl w:val="0"/>
        </w:rPr>
        <w:t>Písemné ověření - test</w:t>
      </w:r>
    </w:p>
    <w:p>
      <w:pPr>
        <w:pStyle w:val="P16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19"/>
        <w:rPr>
          <w:rStyle w:val="C13"/>
          <w:rtl w:val="0"/>
        </w:rPr>
      </w:pPr>
      <w:r>
        <w:rPr>
          <w:rStyle w:val="C13"/>
          <w:rtl w:val="0"/>
        </w:rPr>
        <w:t>h) Prokázat znalost obecných zásad ochrany obchodního tajemství a ochrany utajovaných informací</w:t>
      </w:r>
    </w:p>
    <w:p>
      <w:pPr>
        <w:pStyle w:val="P30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19"/>
        <w:rPr>
          <w:rStyle w:val="C22"/>
          <w:rtl w:val="0"/>
        </w:rPr>
      </w:pPr>
      <w:r>
        <w:rPr>
          <w:rStyle w:val="C22"/>
          <w:rtl w:val="0"/>
        </w:rPr>
        <w:t>Písemné ověření - test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Kontrola osob a vozidel na vrátnicích a branách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Zkontrolovat oprávněnost vstupu osoby, odbavit návštěvu, vysvětlit pravidla a postup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Zkontrolovat oprávněnost vjezdu/výjezdu vozidla a vývozu věcí z objektu, vysvětlit pravidla a postup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pravidla postupu proti cizí či nežádoucí osobě zjištěné na volném prostranství (ve střeženém objektu) a taktiku činnosti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11"/>
        <w:rPr>
          <w:rStyle w:val="C13"/>
          <w:rtl w:val="0"/>
        </w:rPr>
      </w:pPr>
      <w:r>
        <w:rPr>
          <w:rStyle w:val="C13"/>
          <w:rtl w:val="0"/>
        </w:rPr>
        <w:t>d) Provést kontrolu oprávněnosti odnášení/přinesení věcí, zdůvodnit oprávnění a zásady pro kontrolu</w:t>
      </w:r>
    </w:p>
    <w:p>
      <w:pPr>
        <w:pStyle w:val="P30"/>
        <w:framePr w:w="3921" w:h="607" w:hRule="exact" w:wrap="none" w:vAnchor="page" w:hAnchor="margin" w:x="6800" w:y="123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1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75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Kontrolní činnost ve střežených objektech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obecné povinnosti a pravidla chování strážného na obchůzce, popsat hlavní taktické zásady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Vyjmenovat preventivně kontrolní opatření a činnosti strážného při kontrole objektu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předvést taktiku činnosti při kontrole narušeného objektu (místnosti)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Dozor v objektech a na veřejných prostranstvích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Vyzvat narušitele klidu, pořádku a důstojného průběhu akce k dodržování stanovených zásad, vyjmenovat taktické zásady činnosti</w:t>
      </w:r>
    </w:p>
    <w:p>
      <w:pPr>
        <w:pStyle w:val="P28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8"/>
        <w:rPr>
          <w:rStyle w:val="C13"/>
          <w:rtl w:val="0"/>
        </w:rPr>
      </w:pPr>
      <w:r>
        <w:rPr>
          <w:rStyle w:val="C13"/>
          <w:rtl w:val="0"/>
        </w:rPr>
        <w:t>b) Provést kontrolu, zda návštěvník veřejné akce nevnáší do střeženého areálu zakázané věci, popsat oprávnění a zásady pro kontrolu</w:t>
      </w:r>
    </w:p>
    <w:p>
      <w:pPr>
        <w:pStyle w:val="P30"/>
        <w:framePr w:w="3921" w:h="607" w:hRule="exact" w:wrap="none" w:vAnchor="page" w:hAnchor="margin" w:x="6800" w:y="67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c) Zaujmout pozici k ostraze doprovázené osoby na veřejném prostranství, popsat a zdůvodnit taktiku činnosti</w:t>
      </w:r>
    </w:p>
    <w:p>
      <w:pPr>
        <w:pStyle w:val="P28"/>
        <w:framePr w:w="3921" w:h="607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31"/>
        <w:rPr>
          <w:rStyle w:val="C13"/>
          <w:rtl w:val="0"/>
        </w:rPr>
      </w:pPr>
      <w:r>
        <w:rPr>
          <w:rStyle w:val="C13"/>
          <w:rtl w:val="0"/>
        </w:rPr>
        <w:t>d) Popsat a zdůvodnit taktiku činnosti při doprovodu osoby převážející finanční hotovost</w:t>
      </w:r>
    </w:p>
    <w:p>
      <w:pPr>
        <w:pStyle w:val="P30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5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38"/>
        <w:rPr>
          <w:rStyle w:val="C11"/>
          <w:rtl w:val="0"/>
        </w:rPr>
      </w:pPr>
      <w:r>
        <w:rPr>
          <w:rStyle w:val="C11"/>
          <w:rtl w:val="0"/>
        </w:rPr>
        <w:t>e) Popsat povinnosti, oprávnění a zdůvodnit taktiku činnosti při nálezu zbraně, výbušniny či jiné zdraví a životy ohrožující věci v objektu nebo při ostraze veřejné akce konané podle pokynů pořadatele</w:t>
      </w:r>
    </w:p>
    <w:p>
      <w:pPr>
        <w:pStyle w:val="P28"/>
        <w:framePr w:w="3921" w:h="831" w:hRule="exact" w:wrap="none" w:vAnchor="page" w:hAnchor="margin" w:x="6800" w:y="85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3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27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547" w:hRule="exact" w:wrap="none" w:vAnchor="page" w:hAnchor="margin" w:x="28" w:y="9962"/>
        <w:rPr>
          <w:rStyle w:val="C18"/>
          <w:rtl w:val="0"/>
        </w:rPr>
      </w:pPr>
      <w:r>
        <w:rPr>
          <w:rStyle w:val="C18"/>
          <w:rtl w:val="0"/>
        </w:rPr>
        <w:t>Provádění jednoduchých úkonů k zajištění a obnovení bezpečnosti a ke snížení ztrát na majetku a zdraví osob</w:t>
      </w:r>
    </w:p>
    <w:p>
      <w:pPr>
        <w:pStyle w:val="P24"/>
        <w:framePr w:w="6713" w:h="376" w:hRule="exact" w:wrap="none" w:vAnchor="page" w:hAnchor="margin" w:x="45" w:y="10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0985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041"/>
        <w:rPr>
          <w:rStyle w:val="C11"/>
          <w:rtl w:val="0"/>
        </w:rPr>
      </w:pPr>
      <w:r>
        <w:rPr>
          <w:rStyle w:val="C11"/>
          <w:rtl w:val="0"/>
        </w:rPr>
        <w:t>a) Zvolit vhodnou taktiku činnosti pro zadanou situaci (např. obecné narušení objektu cizí osobou, požár, havárie elektrického proudu, havárie vody, nadměrný únik škodlivých látek, technických plynů) a zdůvodnit její výběr, přivolat příslušnou odbornou pomoc a aplikovat znalost zákonných norem do spolupráce se složkami IZS</w:t>
      </w:r>
    </w:p>
    <w:p>
      <w:pPr>
        <w:pStyle w:val="P28"/>
        <w:framePr w:w="3921" w:h="1280" w:hRule="exact" w:wrap="none" w:vAnchor="page" w:hAnchor="margin" w:x="6800" w:y="10985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2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321"/>
        <w:rPr>
          <w:rStyle w:val="C13"/>
          <w:rtl w:val="0"/>
        </w:rPr>
      </w:pPr>
      <w:r>
        <w:rPr>
          <w:rStyle w:val="C13"/>
          <w:rtl w:val="0"/>
        </w:rPr>
        <w:t>b) Popsat pravidla a zvolit vhodnou taktiku činnosti bezpečnostního zásahu, který vede k dočasnému omezení osobní svobody osoby přistižené při páchání trestného činu</w:t>
      </w:r>
    </w:p>
    <w:p>
      <w:pPr>
        <w:pStyle w:val="P30"/>
        <w:framePr w:w="3921" w:h="831" w:hRule="exact" w:wrap="none" w:vAnchor="page" w:hAnchor="margin" w:x="6800" w:y="122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3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3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52"/>
        <w:rPr>
          <w:rStyle w:val="C11"/>
          <w:rtl w:val="0"/>
        </w:rPr>
      </w:pPr>
      <w:r>
        <w:rPr>
          <w:rStyle w:val="C11"/>
          <w:rtl w:val="0"/>
        </w:rPr>
        <w:t>c) Popsat pravidla a zvolit vhodnou taktiku činnosti bezpečnostního zásahu v místech, kde byl spáchán trestní čin</w:t>
      </w:r>
    </w:p>
    <w:p>
      <w:pPr>
        <w:pStyle w:val="P28"/>
        <w:framePr w:w="3921" w:h="607" w:hRule="exact" w:wrap="none" w:vAnchor="page" w:hAnchor="margin" w:x="6800" w:y="13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816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Používání věcných bezpečnostních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pravidla, vysvětlit postup použití zadaného věcného prostředku a předvést v modelové situaci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obecné zásady služební komunikace při použití spojovacích prostředků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obecná pravidla pro použití a obsluhování mechanických a elektronických zabezpečovacích systémů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Zvolit vhodné zařízení pro získání vizuální informace o určité části objektu, zdůvodnit své rozhodnutí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Zvolit vhodné zařízení pro získání informace o fyzickém narušení zastřeženého prostoru, zdůvodnit své rozhodnutí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Zvolit vhodné zařízení pro získání informace o zahoření v zastřeženém prostoru, zdůvodnit své rozhodnutí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dokumentace o ostraze, kontrolách a poskytnutých službách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Vyjmenovat základní údaje, které musí služební záznam o události obsahovat, zaznamenat zadanou událost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Zdůvodnit význam vedení dokumentace o ostraze a kontrolách</w:t>
      </w:r>
    </w:p>
    <w:p>
      <w:pPr>
        <w:pStyle w:val="P30"/>
        <w:framePr w:w="3921" w:h="376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72"/>
        <w:rPr>
          <w:rStyle w:val="C23"/>
          <w:rtl w:val="0"/>
        </w:rPr>
      </w:pPr>
      <w:r>
        <w:rPr>
          <w:rStyle w:val="C23"/>
          <w:rtl w:val="0"/>
        </w:rPr>
        <w:t>Kritéria jsou ověřována v souladu s postupem uvedeným v pokynech pro realizaci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3008" w:hRule="exact" w:wrap="none" w:vAnchor="page" w:hAnchor="margin" w:x="0" w:y="1152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2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se stanoví zvlášť pro písemnou část zkoušky (test) a zvlášť pro praktickou a ústní část zkoušky, přičemž obě části zkoušky musí být úspěšně splněny. Výsledky se zaznamenávají do záznamu o průběhu a výsledku zkoušky. 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musí znít „vyhověl/a“ nebo „nevyhověl/a“.</w:t>
      </w:r>
    </w:p>
    <w:p>
      <w:pPr>
        <w:keepNext w:val="0"/>
        <w:keepLines w:val="0"/>
        <w:framePr w:w="10766" w:h="2668" w:hRule="exact" w:wrap="none" w:vAnchor="page" w:hAnchor="margin" w:x="0" w:y="1186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7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členů, kteří jsou autorizovanými fyzickými osobami s autorizací pro příslušnou profesní kvalifikaci nebo autorizovanými zástupci autorizované právnické osoby s autorizací pro příslušnou profesní kvalifikaci.</w:t>
      </w:r>
    </w:p>
    <w:p>
      <w:pPr>
        <w:keepNext w:val="0"/>
        <w:keepLines w:val="0"/>
        <w:framePr w:w="10766" w:h="173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</w:t>
      </w:r>
    </w:p>
    <w:p>
      <w:pPr>
        <w:pStyle w:val="P33"/>
        <w:framePr w:w="10766" w:h="7891" w:hRule="exact" w:wrap="none" w:vAnchor="page" w:hAnchor="margin" w:x="0" w:y="44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minimální kvalifikační požadavky: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7343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5 let praxe v oboru ostraha majetku a osob nebo oboru příbuzném (viz § 7 (4) zákona č. 455/1991 Sb.), z toho minimálně dva roky v posledních pěti letech před podáním žádosti o autorizaci praxi v ostraze majetku a osob (viz. nařízení vlády č. 278/2008 Sb., o obsahových náplních jednotlivých živností v aktuálním znění), nebo minimálně 5 let pedagogické praxe v oboru bezpečnostně právní činnost nebo bezpečnostní služby, z toho minimálně jeden rok v posledních třech letech před podáním žádosti o autorizaci (doložit vysokoškolským diplomem a dokumenty prokazujícími praxi).</w:t>
      </w:r>
    </w:p>
    <w:p>
      <w:pPr>
        <w:keepNext w:val="0"/>
        <w:keepLines w:val="1"/>
        <w:framePr w:w="10766" w:h="7343" w:hRule="exact" w:wrap="none" w:vAnchor="page" w:hAnchor="margin" w:x="0" w:y="500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mít uživatelskou dovednost práce s počítačem a internetem (doložit čestným prohlášením).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vnitra, www.mvcr.cz.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7343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•Autorizovaná osoba musí být schopna organizačně zajistit řádný průběh zkoušky a zajistit nezbytné materiální a technické předpoklady pro provedení zkoušky dle tohoto standardu (doložit čestným prohlášením, viz dále). </w:t>
      </w:r>
    </w:p>
    <w:p>
      <w:pPr>
        <w:keepNext w:val="0"/>
        <w:keepLines w:val="1"/>
        <w:framePr w:w="10766" w:h="7343" w:hRule="exact" w:wrap="none" w:vAnchor="page" w:hAnchor="margin" w:x="0" w:y="500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•Žadatel o autorizaci, který nemá odbornou kvalifikaci pedagogického pracovníka podle zákona č. 563/2004 Sb., o pedagogických pracovnících a o změně některých zákonů, ve znění pozdějších předpisů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a přípravy zaměřené na vzdělávání a hodnocení dospělých s důrazem na psychologické aspekty zkoušení dospělých v rozsahu minimálně 12 hodin (doložit osvědčením).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autorizujícímu orgánu nebo jiným postupem stanoveným autorizujícím orgánem.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si může vyžádat stanovisko k odborné způsobilosti žadatele o autorizaci vydané věcně příslušným profesním společenstvem ve smyslu § 50 zákona č. 500/2004 Sb., správní řád.</w:t>
      </w:r>
    </w:p>
    <w:p>
      <w:pPr>
        <w:keepNext w:val="0"/>
        <w:keepLines w:val="0"/>
        <w:framePr w:w="10766" w:h="7343" w:hRule="exact" w:wrap="none" w:vAnchor="page" w:hAnchor="margin" w:x="0" w:y="500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Autorizující orgán může přizvat pracovníky profesních společenstev ke kontrole výkonu odborné způsobilosti autorizované osoby v průběhu platnosti autorizace a také správnosti postupu při provádění zkoušek a vydávání osvědčení (viz § 22 písm. e zákona č. 179/2006 Sb. a § 2 a 9 zákona č. 552/1991 Sb.) a přihlédne k jejich odbornému názoru.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92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 žádosti o udělení autorizace žadatel přiloží čestné prohlášení dokládající soulad jeho materiálních a technických předpokladů pro účely zkoušky s požadavky uvedenými dále. Pokud žadatel o autorizaci bude při zkouškách využívat materiálně-technické vybavení jiného subjektu, přiloží k žádosti o udělení autorizace nebo prodloužení platnosti autorizace příslušnou smlouvu umožňující jeho využívání. 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materiálně-technické zázemí v dále uvedeném rozsahu: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•vhodné prostory k vykonání zkoušky, zejména místnost pro provedení písemné části zkoušky a dále místnost či místo umožňující přípravu a řádné řešení zadaných typových situací,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•běžné prostředky zvyšující účinnost obrany strážného,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maketami. 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•formalizovanou dokumentaci k vedení záznamů o průběhu zkoušky a záznamu hodnocení, případně PC k jejímu vedení a umožňujícímu absolvování písemného testu,</w:t>
      </w:r>
    </w:p>
    <w:p>
      <w:pPr>
        <w:keepNext w:val="0"/>
        <w:keepLines w:val="1"/>
        <w:framePr w:w="10766" w:h="4583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•texty právních předpisů, záznamní a ostatní pomůcky nezbytné pro práci komise a činnost uchazeče.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organizace,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keepNext w:val="0"/>
        <w:keepLines w:val="0"/>
        <w:framePr w:w="10766" w:h="458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přípravy na praktickou a ústní část zkoušky (včetně případných časů, kdy se uchazeč připravuje během zkoušky) je maximálně 10 minut. Do doby přípravy na zkoušku se nezapočítává doba na seznámení uchazeče s pracovištěm a s požadavky BOZP a PO. </w:t>
      </w:r>
    </w:p>
    <w:p>
      <w:pPr>
        <w:pStyle w:val="P33"/>
        <w:framePr w:w="10766" w:h="1146" w:hRule="exact" w:wrap="none" w:vAnchor="page" w:hAnchor="margin" w:x="0" w:y="89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0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2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trvá maximálně 45 minut. Praktická a ústní část zkoušky trvá maximálně 30 minut. Obě části zkoušky absolvuje uchazeč v jednom dni.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Strážný, 24.8.2026 6:33:46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F0144D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4CE34B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E0BE76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