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837D2" Type="http://schemas.openxmlformats.org/officeDocument/2006/relationships/officeDocument" Target="/word/document.xml" /><Relationship Id="coreR444837D2" Type="http://schemas.openxmlformats.org/package/2006/relationships/metadata/core-properties" Target="/docProps/core.xml" /><Relationship Id="customR444837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zajistí a zveřejní místo konání zkoušky a další nezbytné organizační pokyny, stanoví, které pomůcky uchazeč při zkoušce nesmí, resp. smí používat.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zkoušek a s požadavky bezpečnosti a ochrany zdraví při práci (BOZP), požární ochrany (PO) a dalšími omezeními.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 (odborné způsobilosti: Provádění ochrany a ostrahy majetku a osob; Obsluhování technických bezpečnostních systémů; Uplatňování zásad součinnosti se složkami Integrovaného záchranného systému, zejména s Policií ČR a vymezenými osobami a Aplikování právních základů bezpečnostní činnosti), se prověřují písemnou zkouškou provedenou formou testu. Autorizovaná osoba sestaví test náhodným generováním ze souboru otázek a při přípravě testu zabezpečí vždy různé kombinace pořadí možných odpovědí pod písmeny a), b), c) u jednotlivých otázek. Aktuální soubor testových otázek bude spravován a v elektronické podobě uchováván autorizujícím orgánem. Autorizovaným osobám bude předán při autorizaci a dále při aktualizaci soubor testových otázek na datovém nosiči. Celkový počet otázek v testu musí být 30. Početní zastoupení jednotlivých okruhů otázek v testu je stanoveno klíčem, který je součástí souboru otázek. Určený člen komise poučí uchazeče o způsobu práce s testem před zahájením časového limitu.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bude uchováváno v souladu s § 8 vyhlášky č. 208/2007 Sb. o podrobnostech stanovených k provedení zákona o uznávání výsledků dalšího vzdělávání.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Ústní/praktická zkouška je založena na řešení konkrétních situací. Uchazeč musí vyřešit dvě typové situace vždy jednu ze skupiny A a jednu ze skupiny B ze souboru 30 typových situací. Aktuální soubor typových situací bude spravován a v elektronické podobě uchováván autorizujícím orgánem. Autorizovaným osobám bude předán při autorizaci a dále při aktualizaci soubor testových otázek na datovém nosiči. Typové situace jsou rozděleny do dvou skupin, kdy skupina A primárně ověřuje odborné způsobilosti: Kontrola osob a vozidel na vrátnicích a branách; Kontrolní činnost ve střežených objektech; Dozor v objektech a na veřejných prostranstvích a skupina B primárně ověřuje odborné způsobilosti: Provádění jednoduchých úkonů k zajištění a obnovení bezpečnosti a ke snížení ztrát na majetku a zdraví osob; Používání věcných bezpečnostních prostředků; odborná způsobilost Vedení dokumentace o ostraze, kontrolách a poskytnutých službách je ověřována u všech typových situací.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