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EA335B" Type="http://schemas.openxmlformats.org/officeDocument/2006/relationships/officeDocument" Target="/word/document.xml" /><Relationship Id="coreR7EEA335B" Type="http://schemas.openxmlformats.org/package/2006/relationships/metadata/core-properties" Target="/docProps/core.xml" /><Relationship Id="customR7EEA33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19.06.2009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zajistí a zveřejní místo konání zkoušky a další nezbytné organizační pokyny, stanoví, které pomůcky uchazeč při zkoušce nesmí, resp. smí používat.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zkoušek a s požadavky bezpečnosti a ochrany zdraví při práci (BOZP), požární ochrany (PO) a dalšími omezeními.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písemně (odborné způsobilosti: Provádění ochrany a ostrahy majetku a osob; Obsluhování technických bezpečnostních systémů; Uplatňování zásad součinnosti se složkami Integrovaného záchranného systému, zejména s Policií ČR a vymezenými osobami a Aplikování právních základů bezpečnostní činnosti), se prověřují písemnou zkouškou provedenou formou testu. Autorizovaná osoba sestaví test náhodným generováním ze souboru otázek a při přípravě testu zabezpečí vždy různé kombinace pořadí možných odpovědí pod písmeny a), b), c) u jednotlivých otázek. Aktuální soubor testových otázek bude spravován a v elektronické podobě uchováván autorizujícím orgánem. Autorizovaným osobám bude předán při autorizaci a dále při aktualizaci soubor testových otázek na datovém nosiči. Celkový počet otázek v testu musí být 30. Početní zastoupení jednotlivých okruhů otázek v testu je stanoveno klíčem, který je součástí souboru otázek. Určený člen komise poučí uchazeče o způsobu práce s testem před zahájením časového limitu.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bude uchováváno v souladu s § 8 vyhlášky č. 208/2007 Sb. o podrobnostech stanovených k provedení zákona o uznávání výsledků dalšího vzdělávání.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Ústní/praktická zkouška je založena na řešení konkrétních situací. Uchazeč musí vyřešit dvě typové situace vždy jednu ze skupiny A a jednu ze skupiny B ze souboru 30 typových situací. Aktuální soubor typových situací bude spravován a v elektronické podobě uchováván autorizujícím orgánem. Autorizovaným osobám bude předán při autorizaci a dále při aktualizaci soubor testových otázek na datovém nosiči. Typové situace jsou rozděleny do dvou skupin, kdy skupina A primárně ověřuje odborné způsobilosti: Kontrola osob a vozidel na vrátnicích a branách; Kontrolní činnost ve střežených objektech; Dozor v objektech a na veřejných prostranstvích a skupina B primárně ověřuje odborné způsobilosti: Provádění jednoduchých úkonů k zajištění a obnovení bezpečnosti a ke snížení ztrát na majetku a zdraví osob; Používání věcných bezpečnostních prostředků; odborná způsobilost Vedení dokumentace o ostraze, kontrolách a poskytnutých službách je ověřována u všech typových situací.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7.11.2026 17:45:49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