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4DE5F7" Type="http://schemas.openxmlformats.org/officeDocument/2006/relationships/officeDocument" Target="/word/document.xml" /><Relationship Id="coreR554DE5F7" Type="http://schemas.openxmlformats.org/package/2006/relationships/metadata/core-properties" Target="/docProps/core.xml" /><Relationship Id="customR554DE5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Strážný (kód: 68-008-E)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Strážný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ochrany a ostrahy majetku a osob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Obsluhování technických bezpečnostních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zásad součinnosti se složkami integrovaného záchranného systému, zejména s Policií ČR a vymezenými osobami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Aplikování právních základů bezpečnostní činnosti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osob a vozidel na vrátnicích a branách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Kontrolní činnost ve střežených objektech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Dozor v objektech a na veřejných prostranstvích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jednoduchých úkonů k zajištění a obnovení bezpečnosti a ke snížení ztrát na majetku a zdraví osob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Používání věcných bezpečnostních prostředků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dokumentace o ostraze, kontrolách a poskytnutých službách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31.10.2012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2.8.2026 8:17:40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Provádění ochrany a ostrahy majetku a osob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zásad ochrany a ostrahy majetku a osob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831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Prokázat znalost ustanovení příslušných zákonů, nařízení a vyhlášek, které vymezují pravomoci, odpovědnost a způsob činnosti při ostraze a ochraně majetku a osob</w:t>
      </w:r>
    </w:p>
    <w:p>
      <w:pPr>
        <w:pStyle w:val="P30"/>
        <w:framePr w:w="3921" w:h="831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12"/>
        <w:framePr w:w="6710" w:h="831" w:hRule="exact" w:wrap="none" w:vAnchor="page" w:hAnchor="margin" w:x="45" w:y="47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91"/>
        <w:rPr>
          <w:rStyle w:val="C11"/>
          <w:rtl w:val="0"/>
        </w:rPr>
      </w:pPr>
      <w:r>
        <w:rPr>
          <w:rStyle w:val="C11"/>
          <w:rtl w:val="0"/>
        </w:rPr>
        <w:t>c) Prokázat znalost zásad bezpečnosti, požární ochrany, ochrany života a zdraví osob a ochrany životního prostředí, předcházení vzniku požáru a technickým a ekologickým haváriím a zásad činnosti při úrazu</w:t>
      </w:r>
    </w:p>
    <w:p>
      <w:pPr>
        <w:pStyle w:val="P28"/>
        <w:framePr w:w="3921" w:h="831" w:hRule="exact" w:wrap="none" w:vAnchor="page" w:hAnchor="margin" w:x="6800" w:y="47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91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32"/>
        <w:framePr w:w="10710" w:h="248" w:hRule="exact" w:wrap="none" w:vAnchor="page" w:hAnchor="margin" w:x="28" w:y="5679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340" w:hRule="exact" w:wrap="none" w:vAnchor="page" w:hAnchor="margin" w:x="28" w:y="6115"/>
        <w:rPr>
          <w:rStyle w:val="C18"/>
          <w:rtl w:val="0"/>
        </w:rPr>
      </w:pPr>
      <w:r>
        <w:rPr>
          <w:rStyle w:val="C18"/>
          <w:rtl w:val="0"/>
        </w:rPr>
        <w:t>Obsluhování technických bezpečnostních systémů</w:t>
      </w:r>
    </w:p>
    <w:p>
      <w:pPr>
        <w:pStyle w:val="P24"/>
        <w:framePr w:w="6713" w:h="376" w:hRule="exact" w:wrap="none" w:vAnchor="page" w:hAnchor="margin" w:x="45" w:y="65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93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986"/>
        <w:rPr>
          <w:rStyle w:val="C11"/>
          <w:rtl w:val="0"/>
        </w:rPr>
      </w:pPr>
      <w:r>
        <w:rPr>
          <w:rStyle w:val="C11"/>
          <w:rtl w:val="0"/>
        </w:rPr>
        <w:t>a) Prokázat znalost obecných zásad konstrukce, použití a obsluhy technických bezpečnostních systémů při jejich nasazení k ostraze majetku a osob</w:t>
      </w:r>
    </w:p>
    <w:p>
      <w:pPr>
        <w:pStyle w:val="P28"/>
        <w:framePr w:w="3921" w:h="831" w:hRule="exact" w:wrap="none" w:vAnchor="page" w:hAnchor="margin" w:x="6800" w:y="693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986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607" w:hRule="exact" w:wrap="none" w:vAnchor="page" w:hAnchor="margin" w:x="45" w:y="77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17"/>
        <w:rPr>
          <w:rStyle w:val="C13"/>
          <w:rtl w:val="0"/>
        </w:rPr>
      </w:pPr>
      <w:r>
        <w:rPr>
          <w:rStyle w:val="C13"/>
          <w:rtl w:val="0"/>
        </w:rPr>
        <w:t>b) Prokázat znalost zásad ochrany osobních údajů při jejich zpracování technickými bezpečnostními systémy</w:t>
      </w:r>
    </w:p>
    <w:p>
      <w:pPr>
        <w:pStyle w:val="P30"/>
        <w:framePr w:w="3921" w:h="607" w:hRule="exact" w:wrap="none" w:vAnchor="page" w:hAnchor="margin" w:x="6800" w:y="77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17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32"/>
        <w:framePr w:w="10710" w:h="248" w:hRule="exact" w:wrap="none" w:vAnchor="page" w:hAnchor="margin" w:x="28" w:y="8482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547" w:hRule="exact" w:wrap="none" w:vAnchor="page" w:hAnchor="margin" w:x="28" w:y="8917"/>
        <w:rPr>
          <w:rStyle w:val="C18"/>
          <w:rtl w:val="0"/>
        </w:rPr>
      </w:pPr>
      <w:r>
        <w:rPr>
          <w:rStyle w:val="C18"/>
          <w:rtl w:val="0"/>
        </w:rPr>
        <w:t>Uplatňování zásad součinnosti se složkami integrovaného záchranného systému, zejména s Policií ČR a vymezenými osobami</w:t>
      </w:r>
    </w:p>
    <w:p>
      <w:pPr>
        <w:pStyle w:val="P24"/>
        <w:framePr w:w="6713" w:h="376" w:hRule="exact" w:wrap="none" w:vAnchor="page" w:hAnchor="margin" w:x="45" w:y="956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3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6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3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9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96"/>
        <w:rPr>
          <w:rStyle w:val="C11"/>
          <w:rtl w:val="0"/>
        </w:rPr>
      </w:pPr>
      <w:r>
        <w:rPr>
          <w:rStyle w:val="C11"/>
          <w:rtl w:val="0"/>
        </w:rPr>
        <w:t>a) Prokázat znalost zásad součinnosti s Policií ČR a obecní policií při ostraze a ochraně majetku a osob podle platných ustanovení příslušných zákonů</w:t>
      </w:r>
    </w:p>
    <w:p>
      <w:pPr>
        <w:pStyle w:val="P28"/>
        <w:framePr w:w="3921" w:h="607" w:hRule="exact" w:wrap="none" w:vAnchor="page" w:hAnchor="margin" w:x="6800" w:y="99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96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831" w:hRule="exact" w:wrap="none" w:vAnchor="page" w:hAnchor="margin" w:x="45" w:y="1054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603"/>
        <w:rPr>
          <w:rStyle w:val="C13"/>
          <w:rtl w:val="0"/>
        </w:rPr>
      </w:pPr>
      <w:r>
        <w:rPr>
          <w:rStyle w:val="C13"/>
          <w:rtl w:val="0"/>
        </w:rPr>
        <w:t>b) Prokázat znalost zásad součinnosti s hasičskými jednotkami, záchrannou službou a havarijními službami při odvracení škod na majetku a zdraví osob podle ustanovení příslušných zákonů, znát telefonní čísla tísňového volání</w:t>
      </w:r>
    </w:p>
    <w:p>
      <w:pPr>
        <w:pStyle w:val="P30"/>
        <w:framePr w:w="3921" w:h="831" w:hRule="exact" w:wrap="none" w:vAnchor="page" w:hAnchor="margin" w:x="6800" w:y="1054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603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32"/>
        <w:framePr w:w="10710" w:h="248" w:hRule="exact" w:wrap="none" w:vAnchor="page" w:hAnchor="margin" w:x="28" w:y="11491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2.8.2026 8:17:40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Aplikování právních základů bezpečnostní činnosti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Orientovat se v právních ustanoveních, která vymezují práva a svobody člověka, nedotknutelnost soukromí, ochranu osobnosti, důstojnosti a cti a právo na majetek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831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Orientovat se v občanském právu zejména v právních ustanoveních, která vymezují právo na přiměřenou ochranu proti zásahu do vlastnických práv a právo na přiměřenou obranu</w:t>
      </w:r>
    </w:p>
    <w:p>
      <w:pPr>
        <w:pStyle w:val="P30"/>
        <w:framePr w:w="3921" w:h="831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12"/>
        <w:framePr w:w="6710" w:h="831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Prokázat znalost základních ustanovení pracovního práva, zejména povinností zaměstnance a ustanovení, která se výkonu bezpečnostní činnosti bezprostředně týkají</w:t>
      </w:r>
    </w:p>
    <w:p>
      <w:pPr>
        <w:pStyle w:val="P28"/>
        <w:framePr w:w="3921" w:h="831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1280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Prokázat znalost ustanovení trestního zákona, zákona o přestupcích a trestního řádu v rozsahu, který se bezprostředně týká výkonu činností a jejich aplikace do výkonu činnosti, zejména posouzení trestného činu a přestupku, právo na nutnou obranu, činnost v krajní nouzi, možnost omezení osobní svobody, povinnost ochrany stop a důkazů</w:t>
      </w:r>
    </w:p>
    <w:p>
      <w:pPr>
        <w:pStyle w:val="P30"/>
        <w:framePr w:w="3921" w:h="1280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12"/>
        <w:framePr w:w="6710" w:h="607" w:hRule="exact" w:wrap="none" w:vAnchor="page" w:hAnchor="margin" w:x="45" w:y="674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98"/>
        <w:rPr>
          <w:rStyle w:val="C11"/>
          <w:rtl w:val="0"/>
        </w:rPr>
      </w:pPr>
      <w:r>
        <w:rPr>
          <w:rStyle w:val="C11"/>
          <w:rtl w:val="0"/>
        </w:rPr>
        <w:t>e) Orientovat se v právních ustanoveních, která vymezují právo na držení a nošení zbraně při výkonu povolání</w:t>
      </w:r>
    </w:p>
    <w:p>
      <w:pPr>
        <w:pStyle w:val="P28"/>
        <w:framePr w:w="3921" w:h="607" w:hRule="exact" w:wrap="none" w:vAnchor="page" w:hAnchor="margin" w:x="6800" w:y="674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98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607" w:hRule="exact" w:wrap="none" w:vAnchor="page" w:hAnchor="margin" w:x="45" w:y="73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05"/>
        <w:rPr>
          <w:rStyle w:val="C13"/>
          <w:rtl w:val="0"/>
        </w:rPr>
      </w:pPr>
      <w:r>
        <w:rPr>
          <w:rStyle w:val="C13"/>
          <w:rtl w:val="0"/>
        </w:rPr>
        <w:t>f) Prokázat znalost ustanovení živnostenského zákona o podmínkách provozování a výkonu činnosti ostraha majetku a osob</w:t>
      </w:r>
    </w:p>
    <w:p>
      <w:pPr>
        <w:pStyle w:val="P30"/>
        <w:framePr w:w="3921" w:h="607" w:hRule="exact" w:wrap="none" w:vAnchor="page" w:hAnchor="margin" w:x="6800" w:y="73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05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12"/>
        <w:framePr w:w="6710" w:h="607" w:hRule="exact" w:wrap="none" w:vAnchor="page" w:hAnchor="margin" w:x="45" w:y="79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12"/>
        <w:rPr>
          <w:rStyle w:val="C11"/>
          <w:rtl w:val="0"/>
        </w:rPr>
      </w:pPr>
      <w:r>
        <w:rPr>
          <w:rStyle w:val="C11"/>
          <w:rtl w:val="0"/>
        </w:rPr>
        <w:t>g) Prokázat znalost zásad ochrany osobních údajů při jejich zpracování při výkonu činnosti</w:t>
      </w:r>
    </w:p>
    <w:p>
      <w:pPr>
        <w:pStyle w:val="P28"/>
        <w:framePr w:w="3921" w:h="607" w:hRule="exact" w:wrap="none" w:vAnchor="page" w:hAnchor="margin" w:x="6800" w:y="79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12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607" w:hRule="exact" w:wrap="none" w:vAnchor="page" w:hAnchor="margin" w:x="45" w:y="85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19"/>
        <w:rPr>
          <w:rStyle w:val="C13"/>
          <w:rtl w:val="0"/>
        </w:rPr>
      </w:pPr>
      <w:r>
        <w:rPr>
          <w:rStyle w:val="C13"/>
          <w:rtl w:val="0"/>
        </w:rPr>
        <w:t>h) Prokázat znalost obecných zásad ochrany obchodního tajemství a ochrany utajovaných informací</w:t>
      </w:r>
    </w:p>
    <w:p>
      <w:pPr>
        <w:pStyle w:val="P30"/>
        <w:framePr w:w="3921" w:h="607" w:hRule="exact" w:wrap="none" w:vAnchor="page" w:hAnchor="margin" w:x="6800" w:y="85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19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32"/>
        <w:framePr w:w="10710" w:h="248" w:hRule="exact" w:wrap="none" w:vAnchor="page" w:hAnchor="margin" w:x="28" w:y="9283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340" w:hRule="exact" w:wrap="none" w:vAnchor="page" w:hAnchor="margin" w:x="28" w:y="9719"/>
        <w:rPr>
          <w:rStyle w:val="C18"/>
          <w:rtl w:val="0"/>
        </w:rPr>
      </w:pPr>
      <w:r>
        <w:rPr>
          <w:rStyle w:val="C18"/>
          <w:rtl w:val="0"/>
        </w:rPr>
        <w:t>Kontrola osob a vozidel na vrátnicích a branách</w:t>
      </w:r>
    </w:p>
    <w:p>
      <w:pPr>
        <w:pStyle w:val="P24"/>
        <w:framePr w:w="6713" w:h="376" w:hRule="exact" w:wrap="none" w:vAnchor="page" w:hAnchor="margin" w:x="45" w:y="101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5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90"/>
        <w:rPr>
          <w:rStyle w:val="C11"/>
          <w:rtl w:val="0"/>
        </w:rPr>
      </w:pPr>
      <w:r>
        <w:rPr>
          <w:rStyle w:val="C11"/>
          <w:rtl w:val="0"/>
        </w:rPr>
        <w:t>a) Zkontrolovat oprávněnost vstupu osoby, odbavit návštěvu, vysvětlit pravidla a postup</w:t>
      </w:r>
    </w:p>
    <w:p>
      <w:pPr>
        <w:pStyle w:val="P28"/>
        <w:framePr w:w="3921" w:h="607" w:hRule="exact" w:wrap="none" w:vAnchor="page" w:hAnchor="margin" w:x="6800" w:y="105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1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97"/>
        <w:rPr>
          <w:rStyle w:val="C13"/>
          <w:rtl w:val="0"/>
        </w:rPr>
      </w:pPr>
      <w:r>
        <w:rPr>
          <w:rStyle w:val="C13"/>
          <w:rtl w:val="0"/>
        </w:rPr>
        <w:t>b) Zkontrolovat oprávněnost vjezdu/výjezdu vozidla a vývozu věcí z objektu, vysvětlit pravidla a postup</w:t>
      </w:r>
    </w:p>
    <w:p>
      <w:pPr>
        <w:pStyle w:val="P30"/>
        <w:framePr w:w="3921" w:h="607" w:hRule="exact" w:wrap="none" w:vAnchor="page" w:hAnchor="margin" w:x="6800" w:y="111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9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7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04"/>
        <w:rPr>
          <w:rStyle w:val="C11"/>
          <w:rtl w:val="0"/>
        </w:rPr>
      </w:pPr>
      <w:r>
        <w:rPr>
          <w:rStyle w:val="C11"/>
          <w:rtl w:val="0"/>
        </w:rPr>
        <w:t>c) Popsat pravidla postupu proti cizí či nežádoucí osobě zjištěné na volném prostranství (ve střeženém objektu) a taktiku činnosti</w:t>
      </w:r>
    </w:p>
    <w:p>
      <w:pPr>
        <w:pStyle w:val="P28"/>
        <w:framePr w:w="3921" w:h="607" w:hRule="exact" w:wrap="none" w:vAnchor="page" w:hAnchor="margin" w:x="6800" w:y="117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3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411"/>
        <w:rPr>
          <w:rStyle w:val="C13"/>
          <w:rtl w:val="0"/>
        </w:rPr>
      </w:pPr>
      <w:r>
        <w:rPr>
          <w:rStyle w:val="C13"/>
          <w:rtl w:val="0"/>
        </w:rPr>
        <w:t>d) Provést kontrolu oprávněnosti odnášení/přinesení věcí, zdůvodnit oprávnění a zásady pro kontrolu</w:t>
      </w:r>
    </w:p>
    <w:p>
      <w:pPr>
        <w:pStyle w:val="P30"/>
        <w:framePr w:w="3921" w:h="607" w:hRule="exact" w:wrap="none" w:vAnchor="page" w:hAnchor="margin" w:x="6800" w:y="123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41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075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2.8.2026 8:17:40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Kontrolní činnost ve střežených objektech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obecné povinnosti a pravidla chování strážného na obchůzce, popsat hlavní taktické zásady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Vyjmenovat preventivně kontrolní opatření a činnosti strážného při kontrole objektu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a předvést taktiku činnosti při kontrole narušeného objektu (místnosti)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904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340" w:hRule="exact" w:wrap="none" w:vAnchor="page" w:hAnchor="margin" w:x="28" w:y="5339"/>
        <w:rPr>
          <w:rStyle w:val="C18"/>
          <w:rtl w:val="0"/>
        </w:rPr>
      </w:pPr>
      <w:r>
        <w:rPr>
          <w:rStyle w:val="C18"/>
          <w:rtl w:val="0"/>
        </w:rPr>
        <w:t>Dozor v objektech a na veřejných prostranstvích</w:t>
      </w:r>
    </w:p>
    <w:p>
      <w:pPr>
        <w:pStyle w:val="P24"/>
        <w:framePr w:w="6713" w:h="376" w:hRule="exact" w:wrap="none" w:vAnchor="page" w:hAnchor="margin" w:x="45" w:y="57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11"/>
        <w:rPr>
          <w:rStyle w:val="C11"/>
          <w:rtl w:val="0"/>
        </w:rPr>
      </w:pPr>
      <w:r>
        <w:rPr>
          <w:rStyle w:val="C11"/>
          <w:rtl w:val="0"/>
        </w:rPr>
        <w:t>a) Vyzvat narušitele klidu, pořádku a důstojného průběhu akce k dodržování stanovených zásad, vyjmenovat taktické zásady činnosti</w:t>
      </w:r>
    </w:p>
    <w:p>
      <w:pPr>
        <w:pStyle w:val="P28"/>
        <w:framePr w:w="3921" w:h="607" w:hRule="exact" w:wrap="none" w:vAnchor="page" w:hAnchor="margin" w:x="6800" w:y="61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7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18"/>
        <w:rPr>
          <w:rStyle w:val="C13"/>
          <w:rtl w:val="0"/>
        </w:rPr>
      </w:pPr>
      <w:r>
        <w:rPr>
          <w:rStyle w:val="C13"/>
          <w:rtl w:val="0"/>
        </w:rPr>
        <w:t>b) Provést kontrolu, zda návštěvník veřejné akce nevnáší do střeženého areálu zakázané věci, popsat oprávnění a zásady pro kontrolu</w:t>
      </w:r>
    </w:p>
    <w:p>
      <w:pPr>
        <w:pStyle w:val="P30"/>
        <w:framePr w:w="3921" w:h="607" w:hRule="exact" w:wrap="none" w:vAnchor="page" w:hAnchor="margin" w:x="6800" w:y="67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3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24"/>
        <w:rPr>
          <w:rStyle w:val="C11"/>
          <w:rtl w:val="0"/>
        </w:rPr>
      </w:pPr>
      <w:r>
        <w:rPr>
          <w:rStyle w:val="C11"/>
          <w:rtl w:val="0"/>
        </w:rPr>
        <w:t>c) Zaujmout pozici k ostraze doprovázené osoby na veřejném prostranství, popsat a zdůvodnit taktiku činnosti</w:t>
      </w:r>
    </w:p>
    <w:p>
      <w:pPr>
        <w:pStyle w:val="P28"/>
        <w:framePr w:w="3921" w:h="607" w:hRule="exact" w:wrap="none" w:vAnchor="page" w:hAnchor="margin" w:x="6800" w:y="73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2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31"/>
        <w:rPr>
          <w:rStyle w:val="C13"/>
          <w:rtl w:val="0"/>
        </w:rPr>
      </w:pPr>
      <w:r>
        <w:rPr>
          <w:rStyle w:val="C13"/>
          <w:rtl w:val="0"/>
        </w:rPr>
        <w:t>d) Popsat a zdůvodnit taktiku činnosti při doprovodu osoby převážející finanční hotovost</w:t>
      </w:r>
    </w:p>
    <w:p>
      <w:pPr>
        <w:pStyle w:val="P30"/>
        <w:framePr w:w="3921" w:h="607" w:hRule="exact" w:wrap="none" w:vAnchor="page" w:hAnchor="margin" w:x="6800" w:y="79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3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58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638"/>
        <w:rPr>
          <w:rStyle w:val="C11"/>
          <w:rtl w:val="0"/>
        </w:rPr>
      </w:pPr>
      <w:r>
        <w:rPr>
          <w:rStyle w:val="C11"/>
          <w:rtl w:val="0"/>
        </w:rPr>
        <w:t>e) Popsat povinnosti, oprávnění a zdůvodnit taktiku činnosti při nálezu zbraně, výbušniny či jiné zdraví a životy ohrožující věci v objektu nebo při ostraze veřejné akce konané podle pokynů pořadatele</w:t>
      </w:r>
    </w:p>
    <w:p>
      <w:pPr>
        <w:pStyle w:val="P28"/>
        <w:framePr w:w="3921" w:h="831" w:hRule="exact" w:wrap="none" w:vAnchor="page" w:hAnchor="margin" w:x="6800" w:y="858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63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527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547" w:hRule="exact" w:wrap="none" w:vAnchor="page" w:hAnchor="margin" w:x="28" w:y="9962"/>
        <w:rPr>
          <w:rStyle w:val="C18"/>
          <w:rtl w:val="0"/>
        </w:rPr>
      </w:pPr>
      <w:r>
        <w:rPr>
          <w:rStyle w:val="C18"/>
          <w:rtl w:val="0"/>
        </w:rPr>
        <w:t>Provádění jednoduchých úkonů k zajištění a obnovení bezpečnosti a ke snížení ztrát na majetku a zdraví osob</w:t>
      </w:r>
    </w:p>
    <w:p>
      <w:pPr>
        <w:pStyle w:val="P24"/>
        <w:framePr w:w="6713" w:h="376" w:hRule="exact" w:wrap="none" w:vAnchor="page" w:hAnchor="margin" w:x="45" w:y="106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10985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11041"/>
        <w:rPr>
          <w:rStyle w:val="C11"/>
          <w:rtl w:val="0"/>
        </w:rPr>
      </w:pPr>
      <w:r>
        <w:rPr>
          <w:rStyle w:val="C11"/>
          <w:rtl w:val="0"/>
        </w:rPr>
        <w:t>a) Zvolit vhodnou taktiku činnosti pro zadanou situaci (např. obecné narušení objektu cizí osobou, požár, havárie elektrického proudu, havárie vody, nadměrný únik škodlivých látek, technických plynů) a zdůvodnit její výběr, přivolat příslušnou odbornou pomoc a aplikovat znalost zákonných norem do spolupráce se složkami IZS</w:t>
      </w:r>
    </w:p>
    <w:p>
      <w:pPr>
        <w:pStyle w:val="P28"/>
        <w:framePr w:w="3921" w:h="1280" w:hRule="exact" w:wrap="none" w:vAnchor="page" w:hAnchor="margin" w:x="6800" w:y="10985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1104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226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321"/>
        <w:rPr>
          <w:rStyle w:val="C13"/>
          <w:rtl w:val="0"/>
        </w:rPr>
      </w:pPr>
      <w:r>
        <w:rPr>
          <w:rStyle w:val="C13"/>
          <w:rtl w:val="0"/>
        </w:rPr>
        <w:t>b) Popsat pravidla a zvolit vhodnou taktiku činnosti bezpečnostního zásahu, který vede k dočasnému omezení osobní svobody osoby přistižené při páchání trestného činu</w:t>
      </w:r>
    </w:p>
    <w:p>
      <w:pPr>
        <w:pStyle w:val="P30"/>
        <w:framePr w:w="3921" w:h="831" w:hRule="exact" w:wrap="none" w:vAnchor="page" w:hAnchor="margin" w:x="6800" w:y="1226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3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0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52"/>
        <w:rPr>
          <w:rStyle w:val="C11"/>
          <w:rtl w:val="0"/>
        </w:rPr>
      </w:pPr>
      <w:r>
        <w:rPr>
          <w:rStyle w:val="C11"/>
          <w:rtl w:val="0"/>
        </w:rPr>
        <w:t>c) Popsat pravidla a zvolit vhodnou taktiku činnosti bezpečnostního zásahu v místech, kde byl spáchán trestní čin</w:t>
      </w:r>
    </w:p>
    <w:p>
      <w:pPr>
        <w:pStyle w:val="P28"/>
        <w:framePr w:w="3921" w:h="607" w:hRule="exact" w:wrap="none" w:vAnchor="page" w:hAnchor="margin" w:x="6800" w:y="130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816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2.8.2026 8:17:40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Používání věcných bezpečnostních prostředků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pravidla, vysvětlit postup použití zadaného věcného prostředku a předvést v modelové situaci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obecné zásady služební komunikace při použití spojovacích prostředků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obecná pravidla pro použití a obsluhování mechanických a elektronických zabezpečovacích systémů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Zvolit vhodné zařízení pro získání vizuální informace o určité části objektu, zdůvodnit své rozhodnutí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Zvolit vhodné zařízení pro získání informace o fyzickém narušení zastřeženého prostoru, zdůvodnit své rozhodnutí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Zvolit vhodné zařízení pro získání informace o zahoření v zastřeženém prostoru, zdůvodnit své rozhodnutí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724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340" w:hRule="exact" w:wrap="none" w:vAnchor="page" w:hAnchor="margin" w:x="28" w:y="7160"/>
        <w:rPr>
          <w:rStyle w:val="C18"/>
          <w:rtl w:val="0"/>
        </w:rPr>
      </w:pPr>
      <w:r>
        <w:rPr>
          <w:rStyle w:val="C18"/>
          <w:rtl w:val="0"/>
        </w:rPr>
        <w:t>Vedení dokumentace o ostraze, kontrolách a poskytnutých službách</w:t>
      </w:r>
    </w:p>
    <w:p>
      <w:pPr>
        <w:pStyle w:val="P24"/>
        <w:framePr w:w="6713" w:h="376" w:hRule="exact" w:wrap="none" w:vAnchor="page" w:hAnchor="margin" w:x="45" w:y="75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6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6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9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31"/>
        <w:rPr>
          <w:rStyle w:val="C11"/>
          <w:rtl w:val="0"/>
        </w:rPr>
      </w:pPr>
      <w:r>
        <w:rPr>
          <w:rStyle w:val="C11"/>
          <w:rtl w:val="0"/>
        </w:rPr>
        <w:t>a) Vyjmenovat základní údaje, které musí služební záznam o události obsahovat, zaznamenat zadanou událost</w:t>
      </w:r>
    </w:p>
    <w:p>
      <w:pPr>
        <w:pStyle w:val="P28"/>
        <w:framePr w:w="3921" w:h="607" w:hRule="exact" w:wrap="none" w:vAnchor="page" w:hAnchor="margin" w:x="6800" w:y="79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5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38"/>
        <w:rPr>
          <w:rStyle w:val="C13"/>
          <w:rtl w:val="0"/>
        </w:rPr>
      </w:pPr>
      <w:r>
        <w:rPr>
          <w:rStyle w:val="C13"/>
          <w:rtl w:val="0"/>
        </w:rPr>
        <w:t>b) Zdůvodnit význam vedení dokumentace o ostraze a kontrolách</w:t>
      </w:r>
    </w:p>
    <w:p>
      <w:pPr>
        <w:pStyle w:val="P30"/>
        <w:framePr w:w="3921" w:h="376" w:hRule="exact" w:wrap="none" w:vAnchor="page" w:hAnchor="margin" w:x="6800" w:y="85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072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2.8.2026 8:17:40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90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technicky schopna zajistit zveřejnění termínu a místa konání zkoušky a dalších nezbytných informací na internetových stránkách, a to v termínu odeslání pozvánky ke zkoušce.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ověří doklady, které musí uchazeč předložit, aby zkouška proběhla v souladu s platnými právními předpisy. Zdravotní způsobilost v rozsahu odpovídající ověřované kvalifikaci není požadována.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pracovištěm, organizací zkoušky a s požadavky bezpečnosti a ochrany zdraví při práci (BOZP), požární ochrany (PO) a dalšími omezeními. Autorizovaná osoba stanoví, které pomůcky uchazeč při zkoušce nesmí, resp. smí používat.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Povinností předsedy zkušební komise je dbát na to, aby zkouška probíhala podle tohoto hodnotícího standardu. 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má formu písemné zkoušky a kombinace praktické a ústní zkoušky. Zkouška se skládá v českém jazyce.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písemné, se prověřují formou testu.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praktické předvedení anebo ústní ověření se prověřuje formou řešení typových situací.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 Soubor testových otázek obsahuje kompetence: Provádění ochrany a ostrahy majetku a osob; Obsluhování technických bezpečnostních systémů, Uplatňování zásad součinnosti se složkami integrovaného záchranného systému, zejména s Policií ČR a vymezenými osobami a Aplikování právních základů bezpečnostní činnosti. Každá kompetence je zastoupena v jedné nebo několika skupinách otázek. Početní zastoupení jednotlivých skupin otázek v testu je stanoveno klíčem, který je součástí souboru otázek. Celkový počet otázek v testu musí být 30. Určený člen komise poučí uchazeče o způsobu práce s testem před zahájením časového limitu.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Praktická a ústní část zkoušky je založena na řešení konkrétních typových bezpečnostních nebo preventivně bezpečnostních situací. Uchazeč musí vyřešit dvě náhodně vybrané typové situace, vždy jednu ze skupiny A a jednu ze skupiny B souboru typových situací. Skupina A ověřuje kompetence: Kontrola osob a vozidel na vrátnicích a branách; Kontrolní činnost ve střežených objektech; Dozor v objektech a na veřejných prostranstvích. Skupina B ověřuje kompetence: Provádění jednoduchých úkonů k zajištění a obnovení bezpečnosti a ke snížení ztrát na majetku a zdraví osob. Kompetence Používání věcných bezpečnostních prostředků, Vedení dokumentace o ostraze, kontrolách a poskytnutých službách a Aplikování právních základů bezpečnostní činnosti jsou ověřovány při řešení všech typových situací. 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průběhu zkoušky mohou členové komise klást doplňující otázky. 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soubor testových otázek a aktuální soubor typových situací je spravován a v elektronické podobě uchováván autorizujícím orgánem (Ministerstvem vnitra). Autorizovaným osobám budou tyto soubory předány na datovém nosiči po udělení autorizace a dále při každé aktualizaci souborů otázek a typových situací. Zadání testu včetně odpovědí uchazeče je součástí záznamu o průběhu a výsledku zkoušky a autorizovaná osoba jej musí archivovat v souladu s § 8 vyhlášky č. 208/2007 Sb., o podrobnostech stanovených k provedení zákona o uznávání výsledků dalšího vzdělávání.</w:t>
      </w:r>
    </w:p>
    <w:p>
      <w:pPr>
        <w:pStyle w:val="P33"/>
        <w:framePr w:w="10766" w:h="2773" w:hRule="exact" w:wrap="none" w:vAnchor="page" w:hAnchor="margin" w:x="0" w:y="1128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28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433" w:hRule="exact" w:wrap="none" w:vAnchor="page" w:hAnchor="margin" w:x="0" w:y="116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se stanoví zvlášť pro písemnou část zkoušky (test) a zvlášť pro praktickou a ústní část zkoušky, přičemž obě části zkoušky musí být úspěšně splněny. Výsledky se zaznamenávají do záznamu o průběhu a výsledku zkoušky. </w:t>
      </w:r>
    </w:p>
    <w:p>
      <w:pPr>
        <w:keepNext w:val="0"/>
        <w:keepLines w:val="0"/>
        <w:framePr w:w="10766" w:h="2433" w:hRule="exact" w:wrap="none" w:vAnchor="page" w:hAnchor="margin" w:x="0" w:y="116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úspěšnému vykonání písemné části zkoušky je nutné odpovědět nejméně 80 %, to je 24 otázek testu správně. Úspěšné vykonání písemné zkoušky je podmínkou pro konání praktické a ústní části zkoušky.</w:t>
      </w:r>
    </w:p>
    <w:p>
      <w:pPr>
        <w:keepNext w:val="0"/>
        <w:keepLines w:val="0"/>
        <w:framePr w:w="10766" w:h="2433" w:hRule="exact" w:wrap="none" w:vAnchor="page" w:hAnchor="margin" w:x="0" w:y="116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praktické a ústní části zkoušky musí být úspěšně vyřešeny obě typové situace. V každé typové situaci musí být splněny všechny úkoly (otázky) požadované k jejímu řešení. Při řešení typové situace se připouští dvě odchýlení. Za odchýlení se považuje použití nesprávného výrazu nebo záměna pořadí činností, které nemají vliv na celkově správné řešení situace (odpovědi).</w:t>
      </w:r>
    </w:p>
    <w:p>
      <w:pPr>
        <w:keepNext w:val="0"/>
        <w:keepLines w:val="0"/>
        <w:framePr w:w="10766" w:h="2433" w:hRule="exact" w:wrap="none" w:vAnchor="page" w:hAnchor="margin" w:x="0" w:y="116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musí znít „splnil/a“ nebo „nesplnil/a“.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2.8.2026 8:17:40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7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3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tří členů, kteří jsou autorizovanou fyzickou osobou s autorizací pro příslušnou profesní kvalifikaci nebo autorizovaným zástupcem autorizované právnické osoby s autorizací pro příslušnou profesní kvalifikaci.</w:t>
      </w:r>
    </w:p>
    <w:p>
      <w:pPr>
        <w:keepNext w:val="0"/>
        <w:keepLines w:val="0"/>
        <w:framePr w:w="10766" w:h="173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Členem zkušební komise nemůže být osoba, která je zaměstnavatelem žadatele o zkoušku nebo statutárním orgánem nebo členem statutárního orgánu nebo zaměstnancem stejného subjektu jako je žadatel o zkoušku ani podnikatel, u kterého žadatel vykonává činnost ostrahy majetku a osob v jiném právním vztahu.</w:t>
      </w:r>
    </w:p>
    <w:p>
      <w:pPr>
        <w:pStyle w:val="P33"/>
        <w:framePr w:w="10766" w:h="7627" w:hRule="exact" w:wrap="none" w:vAnchor="page" w:hAnchor="margin" w:x="0" w:y="44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44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079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osoba, resp. autorizovaný zástupce autorizované osoby musí splňovat minimální kvalifikační požadavky: </w:t>
      </w:r>
    </w:p>
    <w:p>
      <w:pPr>
        <w:keepNext w:val="0"/>
        <w:keepLines w:val="0"/>
        <w:framePr w:w="10766" w:h="7079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vysokoškolské vzdělání a 5 let praxe v oboru ostraha majetku a osob nebo oboru příbuzném (viz § 7 (4) zákona č. 455/1991 Sb.), z toho minimálně dva roky v posledních pěti letech před podáním žádosti o autorizaci praxi v ostraze majetku a osob (viz Nařízení vlády č. 278/2008 Sb., o obsahových náplních jednotlivých živností v aktuálním znění), nebo minimálně 5 let pedagogické praxe v oboru bezpečnostně právní činnost a bezpečnostní služby, z toho minimálně jeden rok v posledních třech letech před podáním žádosti o autorizaci (doložit vysokoškolským diplomem a dokumenty prokazujícími praxi),</w:t>
      </w:r>
    </w:p>
    <w:p>
      <w:pPr>
        <w:keepNext w:val="0"/>
        <w:keepLines w:val="0"/>
        <w:framePr w:w="10766" w:h="7079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úspěšně absolvuje ověření odborné způsobilosti zkouškou. Rozsah zkoušky, která ověří odborné způsobilosti minimálně v rozsahu tohoto hodnotícího standardu Strážný a způsob provedení zkoušky stanoví Autorizující orgán.</w:t>
      </w:r>
    </w:p>
    <w:p>
      <w:pPr>
        <w:keepNext w:val="0"/>
        <w:keepLines w:val="0"/>
        <w:framePr w:w="10766" w:h="7079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musí mít uživatelskou dovednost práce s počítačem a internetem (doložit čestným prohlášením).</w:t>
      </w:r>
    </w:p>
    <w:p>
      <w:pPr>
        <w:keepNext w:val="0"/>
        <w:keepLines w:val="0"/>
        <w:framePr w:w="10766" w:h="7079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Žádost o autorizaci naleznete na stránkách autorizujícího orgánu: www.mvcr.cz</w:t>
      </w:r>
    </w:p>
    <w:p>
      <w:pPr>
        <w:keepNext w:val="0"/>
        <w:keepLines w:val="0"/>
        <w:framePr w:w="10766" w:h="7079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079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musí být schopna organizačně zajistit řádný průběh zkoušky a zajistit nezbytné materiální a technické předpoklady pro provedení zkoušky (doložit čestným prohlášením, viz dále). </w:t>
      </w:r>
    </w:p>
    <w:p>
      <w:pPr>
        <w:keepNext w:val="0"/>
        <w:keepLines w:val="0"/>
        <w:framePr w:w="10766" w:h="7079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autorizaci, který nemá odbornou kvalifikaci pedagogického pracovníka podle zákona č. 563/2004 Sb., o pedagogických pracovnících a o změně některých zákonů, ve znění pozdějších předpisů nebo praxi v oblasti vzdělávání dospělých (včetně praxe z oblasti zkoušení), nebo nemá osvědčení o profesní kvalifikaci 75-001-T Lektor dalšího vzdělávání, musí být absolventem přípravy zaměřené zejména na praktickou aplikaci části první, hlavy III a IV zákona č. 179/2006 Sb., o ověřování a uznávání výsledků dalšího vzdělávání a o změně některých zákonů (zákon o uznávání výsledků dalšího vzdělávání) a přípravy zaměřené na vzdělávání a hodnocení dospělých s důrazem na psychologické aspekty zkoušení dospělých v rozsahu minimálně 12 hodin (doložit osvědčením).</w:t>
      </w:r>
    </w:p>
    <w:p>
      <w:pPr>
        <w:keepNext w:val="0"/>
        <w:keepLines w:val="0"/>
        <w:framePr w:w="10766" w:h="7079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autorizujícímu orgánu nebo jiným postupem stanoveným autorizujícím orgánem.</w:t>
      </w:r>
    </w:p>
    <w:p>
      <w:pPr>
        <w:keepNext w:val="0"/>
        <w:keepLines w:val="0"/>
        <w:framePr w:w="10766" w:h="7079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Autorizující orgán může přizvat pracovníky profesních společenstev ke kontrole výkonu odborné způsobilosti autorizované osoby v průběhu platnosti autorizace a také správnosti postupu při provádění zkoušek a vydávání osvědčení (viz § 22 písm. e zákona č. 179/2006 Sb. a § 2 a 9 zákona č. 552/1991 Sb.) a přihlédne k jejich odbornému názoru.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2.8.2026 8:17:40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17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83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žádosti o udělení autorizace žadatel přiloží čestné prohlášení dokládající soulad jeho materiálních a technických předpokladů pro účely zkoušky s požadavky uvedenými dále. Pokud žadatel o autorizaci bude při zkouškách využívat materiálně-technické vybavení jiného subjektu, přiloží k žádosti o udělení autorizace nebo prodloužení platnosti autorizace příslušnou smlouvu umožňující jeho využívání. </w:t>
      </w:r>
    </w:p>
    <w:p>
      <w:pPr>
        <w:keepNext w:val="0"/>
        <w:keepLines w:val="0"/>
        <w:framePr w:w="10766" w:h="383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zajistí materiálně-technické zázemí v dále uvedeném rozsahu: </w:t>
      </w:r>
    </w:p>
    <w:p>
      <w:pPr>
        <w:keepNext w:val="0"/>
        <w:keepLines w:val="0"/>
        <w:framePr w:w="10766" w:h="383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vhodné prostory k vykonání zkoušky, zejména místnost pro provedení písemné části zkoušky a dále místnost či místo umožňující přípravu a řádné řešení zadaných typových situací, </w:t>
      </w:r>
    </w:p>
    <w:p>
      <w:pPr>
        <w:keepNext w:val="0"/>
        <w:keepLines w:val="0"/>
        <w:framePr w:w="10766" w:h="383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běžné prostředky zvyšující účinnost obrany strážného, obvyklé prostředky pro spojení, svítilna, lékárnička a formalizované a jiné záznamní a evidenční pomůcky, </w:t>
      </w:r>
    </w:p>
    <w:p>
      <w:pPr>
        <w:keepNext w:val="0"/>
        <w:keepLines w:val="0"/>
        <w:framePr w:w="10766" w:h="383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PC k vedení záznamů o průběhu zkoušky, hodnocení a dalších dokumentů, případně umožňující absolvování písemného testu,</w:t>
      </w:r>
    </w:p>
    <w:p>
      <w:pPr>
        <w:keepNext w:val="0"/>
        <w:keepLines w:val="0"/>
        <w:framePr w:w="10766" w:h="383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texty právních předpisů, záznamní a ostatní pomůcky nezbytné pro práci komise a činnost uchazeče.</w:t>
      </w:r>
    </w:p>
    <w:p>
      <w:pPr>
        <w:keepNext w:val="0"/>
        <w:keepLines w:val="0"/>
        <w:framePr w:w="10766" w:h="383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žadatel o vykonání zkoušky navrhne při zkouškách využívat materiálně-technické zázemí jiné organizace, např. cvičný nebo reálný objekt, přiloží k žádosti o zkoušku kopii dokumentu schvalujícího jeho využití, pokud ho sám nevlastní. Současně písemně oznámí zásady bezpečnosti a další nutná omezení při konání zkoušky na tomto zázemí.</w:t>
      </w:r>
    </w:p>
    <w:p>
      <w:pPr>
        <w:pStyle w:val="P33"/>
        <w:framePr w:w="10766" w:h="1612" w:hRule="exact" w:wrap="none" w:vAnchor="page" w:hAnchor="margin" w:x="0" w:y="655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55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8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Písemnou část zkoušky absolvuje uchazeč bezprostředně po pokynu komise k zahájení činnosti.</w:t>
      </w:r>
    </w:p>
    <w:p>
      <w:pPr>
        <w:keepNext w:val="0"/>
        <w:keepLines w:val="0"/>
        <w:framePr w:w="10766" w:h="1271" w:hRule="exact" w:wrap="none" w:vAnchor="page" w:hAnchor="margin" w:x="0" w:y="68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praktickou a ústní část zkoušky (včetně případných časů, kdy se uchazeč připravuje během zkoušky) je maximálně 10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83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39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7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Písemná část zkoušky trvá maximálně 45 minut. Praktická a ústní část zkoušky trvá maximálně 30 minut. Obě části zkoušky absolvuje uchazeč v jednom dni.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2.8.2026 8:17:40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podniků komerční bezpečnosti ČR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soukromých bezpečnostních služeb ČR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služeb ochrany majetku a osob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klub bezpečnostních služeb, o.s.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Grémium alarm, o. s.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Státní tiskárna cenin, státní podnik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2.8.2026 8:17:40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