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DAF774" Type="http://schemas.openxmlformats.org/officeDocument/2006/relationships/officeDocument" Target="/word/document.xml" /><Relationship Id="coreR7CDAF774" Type="http://schemas.openxmlformats.org/package/2006/relationships/metadata/core-properties" Target="/docProps/core.xml" /><Relationship Id="customR7CDAF77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Průvodce cestovního ruchu (kód: 65-021-N)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cestovní kanceláře; Pracovník pohostinství a hotelového provozu; Průvodce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474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545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474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545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85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906"/>
        <w:rPr>
          <w:rStyle w:val="C11"/>
          <w:rtl w:val="0"/>
        </w:rPr>
      </w:pPr>
      <w:r>
        <w:rPr>
          <w:rStyle w:val="C11"/>
          <w:rtl w:val="0"/>
        </w:rPr>
        <w:t>Prokazování znalostí historie a dějin kultury v České republice ve vztahu k cestovnímu ruchu</w:t>
      </w:r>
    </w:p>
    <w:p>
      <w:pPr>
        <w:pStyle w:val="P14"/>
        <w:framePr w:w="805" w:h="376" w:hRule="exact" w:wrap="none" w:vAnchor="page" w:hAnchor="margin" w:x="9916" w:y="585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90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Prokázat znalost světových dějin a dějin kultury ve vztahu k cestovnímu ruchu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Využívání znalostí zeměpisu cestovního ruchu v České republice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Využívání znalostí zeměpisu Evropy a ostatních světadílů ve vztahu k cestovnímu ruchu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Prokázání znalostí o životním prostředí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 současném právním a politickém systému v ČR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současném právním a politickém systému EU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Prokázání podrobných tematických znalostí reálií a specifik v cestovním ruchu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Příprava výkladu průvodce a nabídky průvodcovských služeb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Vedení skupiny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Provádění výkladu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Zohledňování osob se speciálními potřebami v práci průvodce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Uplatňování právních a ekonomických aspektů při výkonu práce průvodce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Prokázání znalostí techniky služeb cestovního ruchu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Uplatňování profesního jednání a komunikace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Ústní komunikace v cizím jazyce při výkonu práce průvodce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Písemná komunikace v cizím jazyce při výkonu práce průvodce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1224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302"/>
        <w:rPr>
          <w:rStyle w:val="C13"/>
          <w:rtl w:val="0"/>
        </w:rPr>
      </w:pPr>
      <w:r>
        <w:rPr>
          <w:rStyle w:val="C13"/>
          <w:rtl w:val="0"/>
        </w:rPr>
        <w:t>Informovanost o reáliích dané jazykové oblasti</w:t>
      </w:r>
    </w:p>
    <w:p>
      <w:pPr>
        <w:pStyle w:val="P18"/>
        <w:framePr w:w="805" w:h="376" w:hRule="exact" w:wrap="none" w:vAnchor="page" w:hAnchor="margin" w:x="9916" w:y="1224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30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1284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189"/>
        <w:rPr>
          <w:rStyle w:val="C15"/>
          <w:rtl w:val="0"/>
        </w:rPr>
      </w:pPr>
      <w:r>
        <w:rPr>
          <w:rStyle w:val="C15"/>
          <w:rtl w:val="0"/>
        </w:rPr>
        <w:t>Standard je platný od: 30.06.2009 do: 01.02.2012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 cestovního ruchu, 5.6.2026 0:29:18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Zároveň s oznámením termínu o konání zkoušky zadá uchazeči zpracování písemné práce (itinerář, prezentace apod.), jejíž obsah vychází z kompetencí a kritérií hodnotícího standardu - zejména odborné způsobilosti A.2.H.3.2.001 Příprava výkladu průvodce a nabídky průvodcovských služeb - kritéria hodnocení e), f). Zpracovanou písemnou práci uchazeč předloží u zkoušky. Na její zpracování musí mít uchazeč alespoň 2 týdny. Dále stanoví místo konání zkoušky (včetně praktické zkoušky) a které pomůcky uchazeč při zkoušce smí používat. Uchazeč ve stanoveném termínu sdělí cizí jazyk (cizí jazyky), ve kterém bude ověřována jazyková způsobilost, tj. 3 poslední uvedené kompetence (ústní komunikace v cizím jazyce pro práci průvodce; písemná komunikace v cizím jazyce pro práci průvodce; informovanost o reáliích dané jazykové oblasti).</w:t>
      </w:r>
    </w:p>
    <w:p>
      <w:pPr>
        <w:keepNext w:val="0"/>
        <w:keepLines w:val="0"/>
        <w:framePr w:w="10766" w:h="4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v minulosti složil jazykovou zkoušku úrovně minimálně B2 podle Společného evropského referenčního rámce pro jazyky a doloží její úspěšné vykonání příslušným certifikátem, lze ji pro účely této DK uznat v plném rozsahu a uchazeč nemusí konat. 3 poslední vedené kompetence (viz výše).</w:t>
      </w:r>
    </w:p>
    <w:p>
      <w:pPr>
        <w:keepNext w:val="0"/>
        <w:keepLines w:val="0"/>
        <w:framePr w:w="10766" w:h="4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4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ve zkušební místnosti i v terénu, kdy jsou prověřována předepsaná kritéria podle jednotlivých bodů kvalifikace.</w:t>
      </w:r>
    </w:p>
    <w:p>
      <w:pPr>
        <w:keepNext w:val="0"/>
        <w:keepLines w:val="0"/>
        <w:framePr w:w="10766" w:h="4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uvede v osvědčení o získání dílčí kvalifikace ve výčtu získaných odborných způsobilostí též specifikaci cizího jazyka (cizích jazyků), kterého se týkají odborné způsobilosti „Ústní komunikace v cizím jazyce při výkonu práce průvodce“ a „Písemná komunikace v cizím jazyce při výkonu práce průvodce“.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 cestovního ruchu, 5.6.2026 0:29:18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46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Standard byl připraven Národním ústavem odborného vzdělávání v Praze ve spolupráci s Asociací průvodců České republiky a Ministerstvem pro místní rozvoj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 cestovního ruchu, 5.6.2026 0:29:18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