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CB2A9" Type="http://schemas.openxmlformats.org/officeDocument/2006/relationships/officeDocument" Target="/word/document.xml" /><Relationship Id="coreR7B8CB2A9" Type="http://schemas.openxmlformats.org/package/2006/relationships/metadata/core-properties" Target="/docProps/core.xml" /><Relationship Id="customR7B8CB2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Prokazování znalostí historie a dějin kultury v České republice ve vztahu k cestovnímu ruchu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světových dějin a dějin kultury ve vztahu k cestovnímu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znalostí o životním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současném právním a politickém systému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současném právním a politickém systému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Prokázání podrobných tematických znalostí reálií a specifik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Prokázání znalostí techniky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Zároveň s oznámením termínu o konání zkoušky zadá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e), f).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konat. 3 poslední vedené kompetence (viz výše).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 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Národním ústavem odborného vzdělávání v Praze ve spolupráci s Asociací průvodců České republiky a Ministerstvem pro místní rozvoj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