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CC9982" Type="http://schemas.openxmlformats.org/officeDocument/2006/relationships/officeDocument" Target="/word/document.xml" /><Relationship Id="coreRFCC9982" Type="http://schemas.openxmlformats.org/package/2006/relationships/metadata/core-properties" Target="/docProps/core.xml" /><Relationship Id="customRFCC99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kanceláře; Pracovník pohostinství a hotelového provozu; Průvodce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Prokazování znalostí historie a dějin kultury v České republice ve vztahu k cestovnímu ruchu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Prokázat znalost světových dějin a dějin kultury ve vztahu k cestovnímu ruchu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Prokázání znalostí o životním prostředí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současném právním a politickém systému v ČR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současném právním a politickém systému EU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Prokázání podrobných tematických znalostí reálií a specifik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Příprava výkladu průvodce a nabídky průvodcovských služeb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skupiny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výkladu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Zohledňování osob se speciálními potřebami v práci průvodce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Uplatňování právních a ekonomických aspektů při výkonu práce průvodce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Prokázání znalostí techniky služeb cestovního ruchu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Uplatňování profesního jednání a komunikace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průvodce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průvodce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Informovanost o reáliích dané jazykové oblasti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30.06.2009 do: 01.02.2012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Zároveň s oznámením termínu o konání zkoušky zadá uchazeči zpracování písemné práce (itinerář, prezentace apod.), jejíž obsah vychází z kompetencí a kritérií hodnotícího standardu - zejména odborné způsobilosti A.2.H.3.2.001 Příprava výkladu průvodce a nabídky průvodcovských služeb - kritéria hodnocení e), f). Zpracovanou písemnou práci uchazeč předloží u zkoušky. Na její zpracování musí mít uchazeč alespoň 2 týdny. Dále stanoví místo konání zkoušky (včetně praktické zkoušky) a které pomůcky uchazeč při zkoušce smí používat. Uchazeč ve stanoveném termínu sdělí cizí jazyk (cizí jazyky), ve kterém bude ověřována jazyková způsobilost, tj. 3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v minulosti složil jazykovou zkoušku úrovně minimálně B2 podle Společného evropského referenčního rámce pro jazyky a doloží její úspěšné vykonání příslušným certifikátem, lze ji pro účely této DK uznat v plném rozsahu a uchazeč nemusí konat. 3 poslední vedené kompetence (viz výše).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4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dílčí kvalifikace ve výčtu získaných odborných způsobilostí též specifikaci cizího jazyka (cizích jazyků), kterého se týkají odborné způsobilosti „Ústní komunikace v cizím jazyce při výkonu práce průvodce“ 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Národním ústavem odborného vzdělávání v Praze ve spolupráci s Asociací průvodců České republiky a Ministerstvem pro místní rozvoj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cestovního ruchu, 8.8.2026 12:09:01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