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ED8F2" Type="http://schemas.openxmlformats.org/officeDocument/2006/relationships/officeDocument" Target="/word/document.xml" /><Relationship Id="coreR1B4ED8F2" Type="http://schemas.openxmlformats.org/package/2006/relationships/metadata/core-properties" Target="/docProps/core.xml" /><Relationship Id="customR1B4ED8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kanceláře; Pracovník pohostinství a hotelového provozu;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Prokazování znalostí historie a dějin kultury v České republice ve vztahu k cestovnímu ruchu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světových dějin a dějin kultury ve vztahu k cestovnímu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Prokázání znalostí o životním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současném právním a politickém systému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současném právním a politickém systému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Prokázání podrobných tematických znalostí reálií a specifik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Prokázání znalostí techniky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Zároveň s oznámením termínu o konání zkoušky zadá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e), f).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konat. 3 poslední vedené kompetence (viz výše).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4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 a „Písemná komunikace v cizím jazyce při výkonu práce 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Národním ústavem odborného vzdělávání v Praze ve spolupráci s Asociací průvodců České republiky a Ministerstvem pro místní rozvoj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18.10.2026 18:16:18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