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ACCFB75" Type="http://schemas.openxmlformats.org/officeDocument/2006/relationships/officeDocument" Target="/word/document.xml" /><Relationship Id="coreRACCFB75" Type="http://schemas.openxmlformats.org/package/2006/relationships/metadata/core-properties" Target="/docProps/core.xml" /><Relationship Id="customRACCFB7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Hrázný a jezný (kód: 36-014-H)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vodohospodářských normách, standardech, legislativě a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Kontrola množství a jakosti vody ve vodních tocích a vodních nádržích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stavu břehových opevnění, břehových porostů, průtočnosti koryt a kontrola nakládání s vodami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hospodaření v ochranných pásmech vodních zdrojů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Měření hydrologických a meteorologických hodnot a evidence takto získaných údajů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dokumentace provozu a údržby vodních děl a vodohospodářských zařízení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Opravy a údržba technologických zařízení přehradních, plavebních a jezových soustav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Čištění koryt vodních toků a vodohospodářských zařízení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Obsluha malých vodních elektráren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Provoz, obsluha a údržba vodních děl dle manipulačního a provozního řádu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Řízení a obsluha drobné mechanizace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Provádění prevence před povodněmi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Výkon kontrolní činnosti na vodních dílech a vodních tocích a kontrola ochrany před povodněmi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Měření a pozorování dle programu technicko-bezpečnostního dohledu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Operativní řešení problémů při vzniku poruch, havárií, povodní a dalších mimořádných událostí na vodních dílech a vodních tocích</w:t>
      </w:r>
    </w:p>
    <w:p>
      <w:pPr>
        <w:pStyle w:val="P14"/>
        <w:framePr w:w="805" w:h="607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72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061"/>
        <w:rPr>
          <w:rStyle w:val="C15"/>
          <w:rtl w:val="0"/>
        </w:rPr>
      </w:pPr>
      <w:r>
        <w:rPr>
          <w:rStyle w:val="C15"/>
          <w:rtl w:val="0"/>
        </w:rPr>
        <w:t>Standard je platný od: 07.07.2009 do: 06.07.2015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Hrázný a jezný, 17.8.2026 21:23:09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1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smí používat.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jakož i ke kvalitě, časovému hledisku zvládání předváděných operací a dodržování platných norem.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Ověření některých odborných způsobilostí lze provést též elektronickou formou v simulovaném prostředí (na modelu).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Hrázný a jezný, 17.8.2026 21:23:09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352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Standard byl připraven Sektorovou radou pro vodní hospodářství, v níž jsou zastoupeny:</w:t>
      </w:r>
    </w:p>
    <w:p>
      <w:pPr>
        <w:keepNext w:val="0"/>
        <w:keepLines w:val="0"/>
        <w:framePr w:w="10766" w:h="352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Veolia voda Česká republika, a.s.</w:t>
      </w:r>
    </w:p>
    <w:p>
      <w:pPr>
        <w:keepNext w:val="0"/>
        <w:keepLines w:val="0"/>
        <w:framePr w:w="10766" w:h="352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Agrární komora ČR</w:t>
      </w:r>
    </w:p>
    <w:p>
      <w:pPr>
        <w:keepNext w:val="0"/>
        <w:keepLines w:val="0"/>
        <w:framePr w:w="10766" w:h="352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Královéhradecká provozní, a.s.</w:t>
      </w:r>
    </w:p>
    <w:p>
      <w:pPr>
        <w:keepNext w:val="0"/>
        <w:keepLines w:val="0"/>
        <w:framePr w:w="10766" w:h="352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Povodí Odry, státní podnik</w:t>
      </w:r>
    </w:p>
    <w:p>
      <w:pPr>
        <w:keepNext w:val="0"/>
        <w:keepLines w:val="0"/>
        <w:framePr w:w="10766" w:h="352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vodního hospodářství ČR</w:t>
      </w:r>
    </w:p>
    <w:p>
      <w:pPr>
        <w:keepNext w:val="0"/>
        <w:keepLines w:val="0"/>
        <w:framePr w:w="10766" w:h="352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 DLV</w:t>
      </w:r>
    </w:p>
    <w:p>
      <w:pPr>
        <w:keepNext w:val="0"/>
        <w:keepLines w:val="0"/>
        <w:framePr w:w="10766" w:h="352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Pražské vodovody a kanalizace, a.s.</w:t>
      </w:r>
    </w:p>
    <w:p>
      <w:pPr>
        <w:keepNext w:val="0"/>
        <w:keepLines w:val="0"/>
        <w:framePr w:w="10766" w:h="352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Povodí Ohře, státní podnik</w:t>
      </w:r>
    </w:p>
    <w:p>
      <w:pPr>
        <w:keepNext w:val="0"/>
        <w:keepLines w:val="0"/>
        <w:framePr w:w="10766" w:h="352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SOVAK</w:t>
      </w:r>
    </w:p>
    <w:p>
      <w:pPr>
        <w:keepNext w:val="0"/>
        <w:keepLines w:val="0"/>
        <w:framePr w:w="10766" w:h="352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zemědělství ČR</w:t>
      </w:r>
    </w:p>
    <w:p>
      <w:pPr>
        <w:keepNext w:val="0"/>
        <w:keepLines w:val="0"/>
        <w:framePr w:w="10766" w:h="352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keepNext w:val="0"/>
        <w:keepLines w:val="0"/>
        <w:framePr w:w="10766" w:h="352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2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kvalifikačního standardu se dále podílely:</w:t>
      </w:r>
    </w:p>
    <w:p>
      <w:pPr>
        <w:keepNext w:val="0"/>
        <w:keepLines w:val="0"/>
        <w:framePr w:w="10766" w:h="352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stavební a Střední škola stavební Vysoké Mýto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Hrázný a jezný, 17.8.2026 21:23:09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