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9D93F" Type="http://schemas.openxmlformats.org/officeDocument/2006/relationships/officeDocument" Target="/word/document.xml" /><Relationship Id="coreR7E99D93F" Type="http://schemas.openxmlformats.org/package/2006/relationships/metadata/core-properties" Target="/docProps/core.xml" /><Relationship Id="customR7E99D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Jednoduché činnosti s ručním nářadím a strojním zařízením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kompetence Orientace ve vodohospodářských normách, standardech, legislativě a dokumentaci bude provedeno samostatně jako teoretická část.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Péče o břehové porosty (prořezávky, kácení, odvětvování) motorovými pilami, Údržba břehových opevnění, břehových porostů a průtočnosti koryt, Výroba malt a čerstvého betonu ze suchých směsí a Čištění koryt vodních toků a vodohospodářských zařízení, kdy uchazeč předvede schopnost provádět základní manuální činnosti z oboru vodař přímo na úseku vodního toku. Během těchto činností bude provedeno jejich ústní ověření dle hodnoticích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Řízení a obsluha drobné mechanizace, Jednoduché činnosti s ručním nářadím a strojním zařízením a Doprava materiálu a uložení na místě zpracování, ve kterých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