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68B1A" Type="http://schemas.openxmlformats.org/officeDocument/2006/relationships/officeDocument" Target="/word/document.xml" /><Relationship Id="coreR44F68B1A" Type="http://schemas.openxmlformats.org/package/2006/relationships/metadata/core-properties" Target="/docProps/core.xml" /><Relationship Id="customR44F68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Sb., o ochraně přírody a krajiny, ve znění pozdějších předpisů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2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36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4"/>
        <w:framePr w:w="6713" w:h="376" w:hRule="exact" w:wrap="none" w:vAnchor="page" w:hAnchor="margin" w:x="45" w:y="12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a) Popsat typy malt a betonových směsí, vysvětlit vhodnost použití jednotlivých typů při stavbách a opravách na tocích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14"/>
        <w:rPr>
          <w:rStyle w:val="C13"/>
          <w:rtl w:val="0"/>
        </w:rPr>
      </w:pPr>
      <w:r>
        <w:rPr>
          <w:rStyle w:val="C13"/>
          <w:rtl w:val="0"/>
        </w:rPr>
        <w:t>b) Připravit maltu dle zadání</w:t>
      </w:r>
    </w:p>
    <w:p>
      <w:pPr>
        <w:pStyle w:val="P30"/>
        <w:framePr w:w="3921" w:h="376" w:hRule="exact" w:wrap="none" w:vAnchor="page" w:hAnchor="margin" w:x="6800" w:y="13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1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3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0"/>
        <w:rPr>
          <w:rStyle w:val="C11"/>
          <w:rtl w:val="0"/>
        </w:rPr>
      </w:pPr>
      <w:r>
        <w:rPr>
          <w:rStyle w:val="C11"/>
          <w:rtl w:val="0"/>
        </w:rPr>
        <w:t>c) Připravit betonovou směs dle zadání</w:t>
      </w:r>
    </w:p>
    <w:p>
      <w:pPr>
        <w:pStyle w:val="P28"/>
        <w:framePr w:w="3921" w:h="376" w:hRule="exact" w:wrap="none" w:vAnchor="page" w:hAnchor="margin" w:x="6800" w:y="13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3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Obsluha příslušných druhů stavebních strojů a zařízení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Vysvětlit nutnost prokazatelného periodického proškolení obsluhy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Vysvětlit zásady BOZP při práci se stavebními stroji a zařízeními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stavební stroje a zařízení dle zadání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81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je možno splnit doložením platného oprávnění.</w:t>
      </w:r>
    </w:p>
    <w:p>
      <w:pPr>
        <w:pStyle w:val="P23"/>
        <w:framePr w:w="10710" w:h="340" w:hRule="exact" w:wrap="none" w:vAnchor="page" w:hAnchor="margin" w:x="28" w:y="10617"/>
        <w:rPr>
          <w:rStyle w:val="C18"/>
          <w:rtl w:val="0"/>
        </w:rPr>
      </w:pPr>
      <w:r>
        <w:rPr>
          <w:rStyle w:val="C18"/>
          <w:rtl w:val="0"/>
        </w:rPr>
        <w:t>Jednoduché činnosti s ručním nářadím a strojním zařízením</w:t>
      </w:r>
    </w:p>
    <w:p>
      <w:pPr>
        <w:pStyle w:val="P24"/>
        <w:framePr w:w="6713" w:h="376" w:hRule="exact" w:wrap="none" w:vAnchor="page" w:hAnchor="margin" w:x="45" w:y="110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a) Popsat typy strojů, k jejichž obsluze je nutné proškolení a zácvik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b) Pracovat s ručním nářadím a strojním zařízením</w:t>
      </w:r>
    </w:p>
    <w:p>
      <w:pPr>
        <w:pStyle w:val="P30"/>
        <w:framePr w:w="3921" w:h="376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Prakticky dle zadání</w:t>
      </w:r>
    </w:p>
    <w:p>
      <w:pPr>
        <w:pStyle w:val="P12"/>
        <w:framePr w:w="6710" w:h="607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c) Vysvětlit zásady bezpečné práce s elektrickým nářadím v mokrém prostředí</w:t>
      </w:r>
    </w:p>
    <w:p>
      <w:pPr>
        <w:pStyle w:val="P28"/>
        <w:framePr w:w="3921" w:h="607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8"/>
        <w:rPr>
          <w:rStyle w:val="C13"/>
          <w:rtl w:val="0"/>
        </w:rPr>
      </w:pPr>
      <w:r>
        <w:rPr>
          <w:rStyle w:val="C13"/>
          <w:rtl w:val="0"/>
        </w:rPr>
        <w:t>d) Vysvětlit zásady BOZP při práci s ručním nářadím a strojním zařízením</w:t>
      </w:r>
    </w:p>
    <w:p>
      <w:pPr>
        <w:pStyle w:val="P30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Posun materiálu a předmětů (vazačské oprávnění)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signalizaci při práci s posunem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zakázané postupy při práci s posunem materiálu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BOZP při posunu materiálu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postup při provádění vazačských prací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547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 xml:space="preserve">a) Popsat jednotlivé typy přírodě blízkého  opevnění a vhodnost jejich použití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Provést opravu vegetačního opevnění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Popsat jednotlivé typy stavebních opevnění a vhodnost jejich použití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31"/>
        <w:rPr>
          <w:rStyle w:val="C13"/>
          <w:rtl w:val="0"/>
        </w:rPr>
      </w:pPr>
      <w:r>
        <w:rPr>
          <w:rStyle w:val="C13"/>
          <w:rtl w:val="0"/>
        </w:rPr>
        <w:t>d) Popsat způsob opravy opevnění z lomového kamene</w:t>
      </w:r>
    </w:p>
    <w:p>
      <w:pPr>
        <w:pStyle w:val="P30"/>
        <w:framePr w:w="3921" w:h="376" w:hRule="exact" w:wrap="none" w:vAnchor="page" w:hAnchor="margin" w:x="6800" w:y="71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07"/>
        <w:rPr>
          <w:rStyle w:val="C11"/>
          <w:rtl w:val="0"/>
        </w:rPr>
      </w:pPr>
      <w:r>
        <w:rPr>
          <w:rStyle w:val="C11"/>
          <w:rtl w:val="0"/>
        </w:rPr>
        <w:t>e) Popsat údržbu pohozů a záhozů při zpevňování břehů</w:t>
      </w:r>
    </w:p>
    <w:p>
      <w:pPr>
        <w:pStyle w:val="P28"/>
        <w:framePr w:w="3921" w:h="376" w:hRule="exact" w:wrap="none" w:vAnchor="page" w:hAnchor="margin" w:x="6800" w:y="7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4"/>
        <w:rPr>
          <w:rStyle w:val="C13"/>
          <w:rtl w:val="0"/>
        </w:rPr>
      </w:pPr>
      <w:r>
        <w:rPr>
          <w:rStyle w:val="C13"/>
          <w:rtl w:val="0"/>
        </w:rPr>
        <w:t>f) Vysvětlit zásady BOZP při manipulaci s lomovým kamenem</w:t>
      </w:r>
    </w:p>
    <w:p>
      <w:pPr>
        <w:pStyle w:val="P30"/>
        <w:framePr w:w="3921" w:h="376" w:hRule="exact" w:wrap="none" w:vAnchor="page" w:hAnchor="margin" w:x="6800" w:y="7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4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