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AD1075" Type="http://schemas.openxmlformats.org/officeDocument/2006/relationships/officeDocument" Target="/word/document.xml" /><Relationship Id="coreR1FAD1075" Type="http://schemas.openxmlformats.org/package/2006/relationships/metadata/core-properties" Target="/docProps/core.xml" /><Relationship Id="customR1FAD10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2:43:10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http://katalog.nsp.cz/karta_p.aspx?id_jp=101166&amp;kod_sm1=17)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je nutno doložit platným zdravotním průkazem. 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autorizované osoby. 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podklady, které jsou součástí materiálních a technických předpokladů.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zákazníkem v cizím jazyce (úroveň A2)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uchazeč držitelem platného certifikátu alespoň pro úroveň A2 Společného evropského referenčního rámce pro jazyky, je možné toto kritérium považovat za splněné.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Prokázat schopnost ústně komunikovat se zákazníkem v cizím jazyce na základní úrovni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Bude prakticky ověřena ústně autorizovanou osobou, resp. autorizovaným zástupcem autorizované osoby.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Ústní ověření by mělo trvat maximálně 10 minut.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uchazeč držitelem platného certifikátu alespoň pro úroveň A1 Společného evropského referenčního rámce pro jazyky, je možné toto kritérium považovat za splněné.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2:43:10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Výroba, obchod a služby neuvedené v přílohách 1 až 3 živnostenského zákona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2:43:10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