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E4BB01" Type="http://schemas.openxmlformats.org/officeDocument/2006/relationships/officeDocument" Target="/word/document.xml" /><Relationship Id="coreR6DE4BB01" Type="http://schemas.openxmlformats.org/package/2006/relationships/metadata/core-properties" Target="/docProps/core.xml" /><Relationship Id="customR6DE4BB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16.10.2009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10:37:11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– http://katalog.nsp.cz/karta_tp.aspx?id_jp=101529&amp;kod_sm1=17).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způsobilostí jde o vzájemně navazující činnosti, je nutno při ověřování dodržet tuto logickou návaznost. Většinu způsobilostí je doporučeno ověřovat v reálném provozu pod dohledem autorizované osoby a v souladu s dodržováním předpisů a pravidel týkajících se BOZP. Pouze tu část kritérií, jejichž ověření by kladlo značné nároky na reálný provoz a hrozilo by jeho omezení, je možno ověřovat ve cvičných prostorách s odpovídajícím provozně technickým vybavením a inventářem v souladu s předpisy a pravidly BOZP.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obojí).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Zahájení práce na pokladně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Řešení běžných činností spojených s obsluhou zákazníka na pokladně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Numerické operace na pokladně a obsluha pokladního systému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platební či kreditní kartou a jinými ceninami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Ukončení práce na pokladně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 peněžními prostředky a platebními kartami, je třeba dodržovat bezpečnostní pravidla pro práci na pokladně.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10:37:11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prodavači, v němž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obchodní, Brno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SOU, Šumperk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ISŠo, České Budějovice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prodavač.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10:37:11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