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B925E" Type="http://schemas.openxmlformats.org/officeDocument/2006/relationships/officeDocument" Target="/word/document.xml" /><Relationship Id="coreR5B6B925E" Type="http://schemas.openxmlformats.org/package/2006/relationships/metadata/core-properties" Target="/docProps/core.xml" /><Relationship Id="customR5B6B9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29.08.2023</w:t>
      </w:r>
    </w:p>
    <w:p>
      <w:pPr>
        <w:pStyle w:val="P21"/>
        <w:framePr w:w="7654" w:h="331" w:hRule="exact" w:wrap="none" w:vAnchor="page" w:hAnchor="margin" w:x="28" w:y="15940"/>
        <w:rPr>
          <w:rStyle w:val="C16"/>
          <w:rtl w:val="0"/>
        </w:rPr>
      </w:pPr>
      <w:r>
        <w:rPr>
          <w:rStyle w:val="C16"/>
          <w:rtl w:val="0"/>
        </w:rPr>
        <w:t>Skladník/skladnice, 11.5.2026 5:55:59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11.5.2026 5:55:59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11.5.2026 5:55:59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11.5.2026 5:55:59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https://nsp.cz/jednotka-prace/skladnik#zdravotni-zpusobilost). V případě, že bude uchazeč vykonávat zkoušku v potravinářském provozu musí doložit i platný zdravotní průkaz.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11.5.2026 5:55:59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11.5.2026 5:55:59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11.5.2026 5:55:59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11.5.2026 5:55:59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0BD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209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63EE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