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B44A4" Type="http://schemas.openxmlformats.org/officeDocument/2006/relationships/officeDocument" Target="/word/document.xml" /><Relationship Id="coreR66EB44A4" Type="http://schemas.openxmlformats.org/package/2006/relationships/metadata/core-properties" Target="/docProps/core.xml" /><Relationship Id="customR66EB44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maloobchodu; Pracovník obchodního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druhu a množství zásob pro obchodně provozní jednotku dle předpokládaného prodeje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úprava zboží k prodeji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Kalkulace ceny a vyúčtování tržeb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aranžování zboží v obchodně provozní jednotce a výkladních skříních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29.06.2015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http://katalog.nsp.cz/karta_p.aspx?id_jp=101166&amp;kod_sm1=17)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je nutné doložit platným zdravotním průkazem.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autorizavané osoby.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podklady, které jsou součástí materiálních a technických předpokladů.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zákaznikem v cizím jazyce (úroveň A2)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zkoušený držitelem platného certifikátu alespoň úrovně A2, je možné toto kritérium považovat za splněné.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Prokázat schopnost ústně komunikovat se zákazníkem v cizím jazyce na základní úrovni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Bude prakticky ověřena ústně autorizovanou osobou, resp. autorizovaným zástupcem autorizované osoby.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Ústní ověření by mělo trvat maximálně 10 minut.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uchazeč držitelem platného certifikátu alespoň pro úroveň A1 Společného evropského referenčního rámce pro jazyky, je možné toto kritérium považovat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Výroba, obchod a služby neuvedené v přílohách 1 až 3 živnostenského zákona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