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A1141" Type="http://schemas.openxmlformats.org/officeDocument/2006/relationships/officeDocument" Target="/word/document.xml" /><Relationship Id="coreR2EEA1141" Type="http://schemas.openxmlformats.org/package/2006/relationships/metadata/core-properties" Target="/docProps/core.xml" /><Relationship Id="customR2EEA11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výkresech, dokumentaci a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podlah předepsaných normami, výrobci stavebních materiálů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provádění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úprava a převzetí pracoviště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Zhotovení podkladu z velkoplošných desek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Posouzení kvality materiálů a příslušenství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Měření a rozměřování podlahovin textilních, plastových, pryžových, korkových a linolea před prováděním pokládky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Výpočet spotřeby materiálů pro provádění podlah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podlah z textilních pásů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povlakových podlah plastových, pryžových a linolea z pásů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povlakových podlah plastových, pryžových, textilních, korkových a linolea z různě řezaných dílců a čtverců (vytváření vzorů)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Kladení vodivých podlahovin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Provádění podlah s podlahovým vytápěním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provádění podlah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07.10.2009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způsobilostí, zkoušející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pracovního výkonu a kvality provedení prací.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 Zkoušení lze variantně řešit jako týmovou práci s tím, že jednotliví uchazeči budou v týmu zastávat jak roli řídícího, tak provádějícího pracovníka.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povlakových podlah, 20.10.2026 8:51:12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