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5B1D317" Type="http://schemas.openxmlformats.org/officeDocument/2006/relationships/officeDocument" Target="/word/document.xml" /><Relationship Id="coreR15B1D317" Type="http://schemas.openxmlformats.org/package/2006/relationships/metadata/core-properties" Target="/docProps/core.xml" /><Relationship Id="customR15B1D31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Výhybkář (kód: 37-007-H)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železniční dopravní cesty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Stavění jízdní cesty pro vlak a posun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železničních návěstidel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zabezpečovacího a sdělovacího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posunu v dopravním obvodu s ručně ovládanými výhybkami a výkolejkami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pomocných stavědel v železničních stanicích a vlečkách</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19.01.2010 do: 06.07.2015</w:t>
      </w:r>
    </w:p>
    <w:p>
      <w:pPr>
        <w:pStyle w:val="P21"/>
        <w:framePr w:w="7654" w:h="331" w:hRule="exact" w:wrap="none" w:vAnchor="page" w:hAnchor="margin" w:x="28" w:y="15940"/>
        <w:rPr>
          <w:rStyle w:val="C16"/>
          <w:rtl w:val="0"/>
        </w:rPr>
      </w:pPr>
      <w:r>
        <w:rPr>
          <w:rStyle w:val="C16"/>
          <w:rtl w:val="0"/>
        </w:rPr>
        <w:t>Výhybkář, 22.10.2026 9:23:48</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ve vybraných značkách a číst trasy v grafikonu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se slovním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Prokázat znalost dopravních údajů v grafikonu a zapisovat je</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se slovním vysvětlením</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Vyjmenovat nejdůležitější právní předpisy týkající se železniční dopravy</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Slovní vysvětlení</w:t>
      </w:r>
    </w:p>
    <w:p>
      <w:pPr>
        <w:pStyle w:val="P16"/>
        <w:framePr w:w="6710" w:h="831" w:hRule="exact" w:wrap="none" w:vAnchor="page" w:hAnchor="margin" w:x="45" w:y="5117"/>
        <w:rPr>
          <w:rStyle w:val="C3"/>
          <w:rtl w:val="0"/>
        </w:rPr>
      </w:pPr>
    </w:p>
    <w:p>
      <w:pPr>
        <w:pStyle w:val="P17"/>
        <w:framePr w:w="6658" w:h="704" w:hRule="exact" w:wrap="none" w:vAnchor="page" w:hAnchor="margin" w:x="71" w:y="5173"/>
        <w:rPr>
          <w:rStyle w:val="C13"/>
          <w:rtl w:val="0"/>
        </w:rPr>
      </w:pPr>
      <w:r>
        <w:rPr>
          <w:rStyle w:val="C13"/>
          <w:rtl w:val="0"/>
        </w:rPr>
        <w:t>d) Prokázat znalost základní terminologie železniční dopravy (námezdník, návěstidlo, výhybka, výkolejka, volný schůdný a manipulační prostor, průjezdný průřez; posun, posun mezi dopravnami, přestavná jízda apod.)</w:t>
      </w:r>
    </w:p>
    <w:p>
      <w:pPr>
        <w:pStyle w:val="P30"/>
        <w:framePr w:w="3921" w:h="831" w:hRule="exact" w:wrap="none" w:vAnchor="page" w:hAnchor="margin" w:x="6800" w:y="5117"/>
        <w:rPr>
          <w:rStyle w:val="C3"/>
          <w:rtl w:val="0"/>
        </w:rPr>
      </w:pPr>
    </w:p>
    <w:p>
      <w:pPr>
        <w:pStyle w:val="P31"/>
        <w:framePr w:w="3839" w:h="704" w:hRule="exact" w:wrap="none" w:vAnchor="page" w:hAnchor="margin" w:x="6856" w:y="5173"/>
        <w:rPr>
          <w:rStyle w:val="C22"/>
          <w:rtl w:val="0"/>
        </w:rPr>
      </w:pPr>
      <w:r>
        <w:rPr>
          <w:rStyle w:val="C22"/>
          <w:rtl w:val="0"/>
        </w:rPr>
        <w:t>Slovní vysvětlení</w:t>
      </w:r>
    </w:p>
    <w:p>
      <w:pPr>
        <w:pStyle w:val="P32"/>
        <w:framePr w:w="10710" w:h="248" w:hRule="exact" w:wrap="none" w:vAnchor="page" w:hAnchor="margin" w:x="28" w:y="6062"/>
        <w:rPr>
          <w:rStyle w:val="C23"/>
          <w:rtl w:val="0"/>
        </w:rPr>
      </w:pPr>
      <w:r>
        <w:rPr>
          <w:rStyle w:val="C23"/>
          <w:rtl w:val="0"/>
        </w:rPr>
        <w:t>Je třeba splnit kritérium d) a jedno z kritérií a) až c).</w:t>
      </w:r>
    </w:p>
    <w:p>
      <w:pPr>
        <w:pStyle w:val="P23"/>
        <w:framePr w:w="10710" w:h="340" w:hRule="exact" w:wrap="none" w:vAnchor="page" w:hAnchor="margin" w:x="28" w:y="6497"/>
        <w:rPr>
          <w:rStyle w:val="C18"/>
          <w:rtl w:val="0"/>
        </w:rPr>
      </w:pPr>
      <w:r>
        <w:rPr>
          <w:rStyle w:val="C18"/>
          <w:rtl w:val="0"/>
        </w:rPr>
        <w:t>Stavění jízdní cesty pro vlak a posun</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376" w:hRule="exact" w:wrap="none" w:vAnchor="page" w:hAnchor="margin" w:x="45" w:y="7313"/>
        <w:rPr>
          <w:rStyle w:val="C3"/>
          <w:rtl w:val="0"/>
        </w:rPr>
      </w:pPr>
    </w:p>
    <w:p>
      <w:pPr>
        <w:pStyle w:val="P13"/>
        <w:framePr w:w="6658" w:h="249" w:hRule="exact" w:wrap="none" w:vAnchor="page" w:hAnchor="margin" w:x="71" w:y="7369"/>
        <w:rPr>
          <w:rStyle w:val="C11"/>
          <w:rtl w:val="0"/>
        </w:rPr>
      </w:pPr>
      <w:r>
        <w:rPr>
          <w:rStyle w:val="C11"/>
          <w:rtl w:val="0"/>
        </w:rPr>
        <w:t>a) Dodržovat technologické postupy při přípravě jízdní cesty</w:t>
      </w:r>
    </w:p>
    <w:p>
      <w:pPr>
        <w:pStyle w:val="P28"/>
        <w:framePr w:w="3921" w:h="376" w:hRule="exact" w:wrap="none" w:vAnchor="page" w:hAnchor="margin" w:x="6800" w:y="7313"/>
        <w:rPr>
          <w:rStyle w:val="C3"/>
          <w:rtl w:val="0"/>
        </w:rPr>
      </w:pPr>
    </w:p>
    <w:p>
      <w:pPr>
        <w:pStyle w:val="P29"/>
        <w:framePr w:w="3839" w:h="249" w:hRule="exact" w:wrap="none" w:vAnchor="page" w:hAnchor="margin" w:x="6856" w:y="7369"/>
        <w:rPr>
          <w:rStyle w:val="C21"/>
          <w:rtl w:val="0"/>
        </w:rPr>
      </w:pPr>
      <w:r>
        <w:rPr>
          <w:rStyle w:val="C21"/>
          <w:rtl w:val="0"/>
        </w:rPr>
        <w:t>Slovní vysvětlení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Organizovat činnosti během mimořádných událostí při stavění jízdní cesty</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Slovní vysvětlení</w:t>
      </w:r>
    </w:p>
    <w:p>
      <w:pPr>
        <w:pStyle w:val="P32"/>
        <w:framePr w:w="10710" w:h="248" w:hRule="exact" w:wrap="none" w:vAnchor="page" w:hAnchor="margin" w:x="28" w:y="8179"/>
        <w:rPr>
          <w:rStyle w:val="C23"/>
          <w:rtl w:val="0"/>
        </w:rPr>
      </w:pPr>
      <w:r>
        <w:rPr>
          <w:rStyle w:val="C23"/>
          <w:rtl w:val="0"/>
        </w:rPr>
        <w:t>Je třeba splnit obě kritéria.</w:t>
      </w:r>
    </w:p>
    <w:p>
      <w:pPr>
        <w:pStyle w:val="P23"/>
        <w:framePr w:w="10710" w:h="340" w:hRule="exact" w:wrap="none" w:vAnchor="page" w:hAnchor="margin" w:x="28" w:y="8614"/>
        <w:rPr>
          <w:rStyle w:val="C18"/>
          <w:rtl w:val="0"/>
        </w:rPr>
      </w:pPr>
      <w:r>
        <w:rPr>
          <w:rStyle w:val="C18"/>
          <w:rtl w:val="0"/>
        </w:rPr>
        <w:t>Obsluha železničních návěstidel</w:t>
      </w:r>
    </w:p>
    <w:p>
      <w:pPr>
        <w:pStyle w:val="P24"/>
        <w:framePr w:w="6713" w:h="376" w:hRule="exact" w:wrap="none" w:vAnchor="page" w:hAnchor="margin" w:x="45" w:y="9054"/>
        <w:rPr>
          <w:rStyle w:val="C3"/>
          <w:rtl w:val="0"/>
        </w:rPr>
      </w:pPr>
    </w:p>
    <w:p>
      <w:pPr>
        <w:pStyle w:val="P25"/>
        <w:framePr w:w="6661" w:h="249" w:hRule="exact" w:wrap="none" w:vAnchor="page" w:hAnchor="margin" w:x="71" w:y="9125"/>
        <w:rPr>
          <w:rStyle w:val="C19"/>
          <w:rtl w:val="0"/>
        </w:rPr>
      </w:pPr>
      <w:r>
        <w:rPr>
          <w:rStyle w:val="C19"/>
          <w:rtl w:val="0"/>
        </w:rPr>
        <w:t>Kritéria hodnocení</w:t>
      </w:r>
    </w:p>
    <w:p>
      <w:pPr>
        <w:pStyle w:val="P26"/>
        <w:framePr w:w="3918" w:h="376" w:hRule="exact" w:wrap="none" w:vAnchor="page" w:hAnchor="margin" w:x="6803" w:y="9054"/>
        <w:rPr>
          <w:rStyle w:val="C3"/>
          <w:rtl w:val="0"/>
        </w:rPr>
      </w:pPr>
    </w:p>
    <w:p>
      <w:pPr>
        <w:pStyle w:val="P27"/>
        <w:framePr w:w="3836" w:h="249" w:hRule="exact" w:wrap="none" w:vAnchor="page" w:hAnchor="margin" w:x="6859" w:y="9125"/>
        <w:rPr>
          <w:rStyle w:val="C20"/>
          <w:rtl w:val="0"/>
        </w:rPr>
      </w:pPr>
      <w:r>
        <w:rPr>
          <w:rStyle w:val="C20"/>
          <w:rtl w:val="0"/>
        </w:rPr>
        <w:t>Způsoby ověření</w:t>
      </w:r>
    </w:p>
    <w:p>
      <w:pPr>
        <w:pStyle w:val="P12"/>
        <w:framePr w:w="6710" w:h="376" w:hRule="exact" w:wrap="none" w:vAnchor="page" w:hAnchor="margin" w:x="45" w:y="9430"/>
        <w:rPr>
          <w:rStyle w:val="C3"/>
          <w:rtl w:val="0"/>
        </w:rPr>
      </w:pPr>
    </w:p>
    <w:p>
      <w:pPr>
        <w:pStyle w:val="P13"/>
        <w:framePr w:w="6658" w:h="249" w:hRule="exact" w:wrap="none" w:vAnchor="page" w:hAnchor="margin" w:x="71" w:y="9486"/>
        <w:rPr>
          <w:rStyle w:val="C11"/>
          <w:rtl w:val="0"/>
        </w:rPr>
      </w:pPr>
      <w:r>
        <w:rPr>
          <w:rStyle w:val="C11"/>
          <w:rtl w:val="0"/>
        </w:rPr>
        <w:t>a) Popsat funkce železničních návěstidel a návěstí</w:t>
      </w:r>
    </w:p>
    <w:p>
      <w:pPr>
        <w:pStyle w:val="P28"/>
        <w:framePr w:w="3921" w:h="376" w:hRule="exact" w:wrap="none" w:vAnchor="page" w:hAnchor="margin" w:x="6800" w:y="9430"/>
        <w:rPr>
          <w:rStyle w:val="C3"/>
          <w:rtl w:val="0"/>
        </w:rPr>
      </w:pPr>
    </w:p>
    <w:p>
      <w:pPr>
        <w:pStyle w:val="P29"/>
        <w:framePr w:w="3839" w:h="249" w:hRule="exact" w:wrap="none" w:vAnchor="page" w:hAnchor="margin" w:x="6856" w:y="9486"/>
        <w:rPr>
          <w:rStyle w:val="C21"/>
          <w:rtl w:val="0"/>
        </w:rPr>
      </w:pPr>
      <w:r>
        <w:rPr>
          <w:rStyle w:val="C21"/>
          <w:rtl w:val="0"/>
        </w:rPr>
        <w:t>Slovní vysvětlení</w:t>
      </w:r>
    </w:p>
    <w:p>
      <w:pPr>
        <w:pStyle w:val="P16"/>
        <w:framePr w:w="6710" w:h="376" w:hRule="exact" w:wrap="none" w:vAnchor="page" w:hAnchor="margin" w:x="45" w:y="9806"/>
        <w:rPr>
          <w:rStyle w:val="C3"/>
          <w:rtl w:val="0"/>
        </w:rPr>
      </w:pPr>
    </w:p>
    <w:p>
      <w:pPr>
        <w:pStyle w:val="P17"/>
        <w:framePr w:w="6658" w:h="249" w:hRule="exact" w:wrap="none" w:vAnchor="page" w:hAnchor="margin" w:x="71" w:y="9862"/>
        <w:rPr>
          <w:rStyle w:val="C13"/>
          <w:rtl w:val="0"/>
        </w:rPr>
      </w:pPr>
      <w:r>
        <w:rPr>
          <w:rStyle w:val="C13"/>
          <w:rtl w:val="0"/>
        </w:rPr>
        <w:t>b) Popsat obsluhu železničních návěstidel během mimořádných událostí</w:t>
      </w:r>
    </w:p>
    <w:p>
      <w:pPr>
        <w:pStyle w:val="P30"/>
        <w:framePr w:w="3921" w:h="376" w:hRule="exact" w:wrap="none" w:vAnchor="page" w:hAnchor="margin" w:x="6800" w:y="9806"/>
        <w:rPr>
          <w:rStyle w:val="C3"/>
          <w:rtl w:val="0"/>
        </w:rPr>
      </w:pPr>
    </w:p>
    <w:p>
      <w:pPr>
        <w:pStyle w:val="P31"/>
        <w:framePr w:w="3839" w:h="249" w:hRule="exact" w:wrap="none" w:vAnchor="page" w:hAnchor="margin" w:x="6856" w:y="9862"/>
        <w:rPr>
          <w:rStyle w:val="C22"/>
          <w:rtl w:val="0"/>
        </w:rPr>
      </w:pPr>
      <w:r>
        <w:rPr>
          <w:rStyle w:val="C22"/>
          <w:rtl w:val="0"/>
        </w:rPr>
        <w:t>Slovní vysvětlení</w:t>
      </w:r>
    </w:p>
    <w:p>
      <w:pPr>
        <w:pStyle w:val="P32"/>
        <w:framePr w:w="10710" w:h="248" w:hRule="exact" w:wrap="none" w:vAnchor="page" w:hAnchor="margin" w:x="28" w:y="10296"/>
        <w:rPr>
          <w:rStyle w:val="C23"/>
          <w:rtl w:val="0"/>
        </w:rPr>
      </w:pPr>
      <w:r>
        <w:rPr>
          <w:rStyle w:val="C23"/>
          <w:rtl w:val="0"/>
        </w:rPr>
        <w:t>Je třeba splnit obě kritéria.</w:t>
      </w:r>
    </w:p>
    <w:p>
      <w:pPr>
        <w:pStyle w:val="P23"/>
        <w:framePr w:w="10710" w:h="340" w:hRule="exact" w:wrap="none" w:vAnchor="page" w:hAnchor="margin" w:x="28" w:y="10731"/>
        <w:rPr>
          <w:rStyle w:val="C18"/>
          <w:rtl w:val="0"/>
        </w:rPr>
      </w:pPr>
      <w:r>
        <w:rPr>
          <w:rStyle w:val="C18"/>
          <w:rtl w:val="0"/>
        </w:rPr>
        <w:t>Obsluha zabezpečovacího a sdělovacího zařízení</w:t>
      </w:r>
    </w:p>
    <w:p>
      <w:pPr>
        <w:pStyle w:val="P24"/>
        <w:framePr w:w="6713" w:h="376" w:hRule="exact" w:wrap="none" w:vAnchor="page" w:hAnchor="margin" w:x="45" w:y="11171"/>
        <w:rPr>
          <w:rStyle w:val="C3"/>
          <w:rtl w:val="0"/>
        </w:rPr>
      </w:pPr>
    </w:p>
    <w:p>
      <w:pPr>
        <w:pStyle w:val="P25"/>
        <w:framePr w:w="6661" w:h="249" w:hRule="exact" w:wrap="none" w:vAnchor="page" w:hAnchor="margin" w:x="71" w:y="11242"/>
        <w:rPr>
          <w:rStyle w:val="C19"/>
          <w:rtl w:val="0"/>
        </w:rPr>
      </w:pPr>
      <w:r>
        <w:rPr>
          <w:rStyle w:val="C19"/>
          <w:rtl w:val="0"/>
        </w:rPr>
        <w:t>Kritéria hodnocení</w:t>
      </w:r>
    </w:p>
    <w:p>
      <w:pPr>
        <w:pStyle w:val="P26"/>
        <w:framePr w:w="3918" w:h="376" w:hRule="exact" w:wrap="none" w:vAnchor="page" w:hAnchor="margin" w:x="6803" w:y="11171"/>
        <w:rPr>
          <w:rStyle w:val="C3"/>
          <w:rtl w:val="0"/>
        </w:rPr>
      </w:pPr>
    </w:p>
    <w:p>
      <w:pPr>
        <w:pStyle w:val="P27"/>
        <w:framePr w:w="3836" w:h="249" w:hRule="exact" w:wrap="none" w:vAnchor="page" w:hAnchor="margin" w:x="6859" w:y="11242"/>
        <w:rPr>
          <w:rStyle w:val="C20"/>
          <w:rtl w:val="0"/>
        </w:rPr>
      </w:pPr>
      <w:r>
        <w:rPr>
          <w:rStyle w:val="C20"/>
          <w:rtl w:val="0"/>
        </w:rPr>
        <w:t>Způsoby ověření</w:t>
      </w:r>
    </w:p>
    <w:p>
      <w:pPr>
        <w:pStyle w:val="P12"/>
        <w:framePr w:w="6710" w:h="376" w:hRule="exact" w:wrap="none" w:vAnchor="page" w:hAnchor="margin" w:x="45" w:y="11547"/>
        <w:rPr>
          <w:rStyle w:val="C3"/>
          <w:rtl w:val="0"/>
        </w:rPr>
      </w:pPr>
    </w:p>
    <w:p>
      <w:pPr>
        <w:pStyle w:val="P13"/>
        <w:framePr w:w="6658" w:h="249" w:hRule="exact" w:wrap="none" w:vAnchor="page" w:hAnchor="margin" w:x="71" w:y="11603"/>
        <w:rPr>
          <w:rStyle w:val="C11"/>
          <w:rtl w:val="0"/>
        </w:rPr>
      </w:pPr>
      <w:r>
        <w:rPr>
          <w:rStyle w:val="C11"/>
          <w:rtl w:val="0"/>
        </w:rPr>
        <w:t>a) Vyjmenovat jednotlivé druhy zabezpečovacích a sdělovacích zařízení</w:t>
      </w:r>
    </w:p>
    <w:p>
      <w:pPr>
        <w:pStyle w:val="P28"/>
        <w:framePr w:w="3921" w:h="376" w:hRule="exact" w:wrap="none" w:vAnchor="page" w:hAnchor="margin" w:x="6800" w:y="11547"/>
        <w:rPr>
          <w:rStyle w:val="C3"/>
          <w:rtl w:val="0"/>
        </w:rPr>
      </w:pPr>
    </w:p>
    <w:p>
      <w:pPr>
        <w:pStyle w:val="P29"/>
        <w:framePr w:w="3839" w:h="249" w:hRule="exact" w:wrap="none" w:vAnchor="page" w:hAnchor="margin" w:x="6856" w:y="11603"/>
        <w:rPr>
          <w:rStyle w:val="C21"/>
          <w:rtl w:val="0"/>
        </w:rPr>
      </w:pPr>
      <w:r>
        <w:rPr>
          <w:rStyle w:val="C21"/>
          <w:rtl w:val="0"/>
        </w:rPr>
        <w:t>Slovní vysvětlení</w:t>
      </w:r>
    </w:p>
    <w:p>
      <w:pPr>
        <w:pStyle w:val="P16"/>
        <w:framePr w:w="6710" w:h="607" w:hRule="exact" w:wrap="none" w:vAnchor="page" w:hAnchor="margin" w:x="45" w:y="11923"/>
        <w:rPr>
          <w:rStyle w:val="C3"/>
          <w:rtl w:val="0"/>
        </w:rPr>
      </w:pPr>
    </w:p>
    <w:p>
      <w:pPr>
        <w:pStyle w:val="P17"/>
        <w:framePr w:w="6658" w:h="480" w:hRule="exact" w:wrap="none" w:vAnchor="page" w:hAnchor="margin" w:x="71" w:y="11979"/>
        <w:rPr>
          <w:rStyle w:val="C13"/>
          <w:rtl w:val="0"/>
        </w:rPr>
      </w:pPr>
      <w:r>
        <w:rPr>
          <w:rStyle w:val="C13"/>
          <w:rtl w:val="0"/>
        </w:rPr>
        <w:t>b) Obsluhovat zabezpečovací a sdělovací zařízení</w:t>
      </w:r>
    </w:p>
    <w:p>
      <w:pPr>
        <w:pStyle w:val="P30"/>
        <w:framePr w:w="3921" w:h="607" w:hRule="exact" w:wrap="none" w:vAnchor="page" w:hAnchor="margin" w:x="6800" w:y="11923"/>
        <w:rPr>
          <w:rStyle w:val="C3"/>
          <w:rtl w:val="0"/>
        </w:rPr>
      </w:pPr>
    </w:p>
    <w:p>
      <w:pPr>
        <w:pStyle w:val="P31"/>
        <w:framePr w:w="3839" w:h="480" w:hRule="exact" w:wrap="none" w:vAnchor="page" w:hAnchor="margin" w:x="6856" w:y="11979"/>
        <w:rPr>
          <w:rStyle w:val="C22"/>
          <w:rtl w:val="0"/>
        </w:rPr>
      </w:pPr>
      <w:r>
        <w:rPr>
          <w:rStyle w:val="C22"/>
          <w:rtl w:val="0"/>
        </w:rPr>
        <w:t>Praktické předvedení se slovním vysvětlením</w:t>
      </w:r>
    </w:p>
    <w:p>
      <w:pPr>
        <w:pStyle w:val="P12"/>
        <w:framePr w:w="6710" w:h="607" w:hRule="exact" w:wrap="none" w:vAnchor="page" w:hAnchor="margin" w:x="45" w:y="12530"/>
        <w:rPr>
          <w:rStyle w:val="C3"/>
          <w:rtl w:val="0"/>
        </w:rPr>
      </w:pPr>
    </w:p>
    <w:p>
      <w:pPr>
        <w:pStyle w:val="P13"/>
        <w:framePr w:w="6658" w:h="480" w:hRule="exact" w:wrap="none" w:vAnchor="page" w:hAnchor="margin" w:x="71" w:y="12586"/>
        <w:rPr>
          <w:rStyle w:val="C11"/>
          <w:rtl w:val="0"/>
        </w:rPr>
      </w:pPr>
      <w:r>
        <w:rPr>
          <w:rStyle w:val="C11"/>
          <w:rtl w:val="0"/>
        </w:rPr>
        <w:t>c) Sjednávat jízdy (rozkazy, hlášení)</w:t>
      </w:r>
    </w:p>
    <w:p>
      <w:pPr>
        <w:pStyle w:val="P28"/>
        <w:framePr w:w="3921" w:h="607" w:hRule="exact" w:wrap="none" w:vAnchor="page" w:hAnchor="margin" w:x="6800" w:y="12530"/>
        <w:rPr>
          <w:rStyle w:val="C3"/>
          <w:rtl w:val="0"/>
        </w:rPr>
      </w:pPr>
    </w:p>
    <w:p>
      <w:pPr>
        <w:pStyle w:val="P29"/>
        <w:framePr w:w="3839" w:h="480" w:hRule="exact" w:wrap="none" w:vAnchor="page" w:hAnchor="margin" w:x="6856" w:y="12586"/>
        <w:rPr>
          <w:rStyle w:val="C21"/>
          <w:rtl w:val="0"/>
        </w:rPr>
      </w:pPr>
      <w:r>
        <w:rPr>
          <w:rStyle w:val="C21"/>
          <w:rtl w:val="0"/>
        </w:rPr>
        <w:t>Praktické předvedení se slovním vysvětlením</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d) Popsat obsluhu zabezpečovacího a sdělovacího zařízení během mimořádných událostí</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Slovní vysvětlení</w:t>
      </w:r>
    </w:p>
    <w:p>
      <w:pPr>
        <w:pStyle w:val="P32"/>
        <w:framePr w:w="10710" w:h="248" w:hRule="exact" w:wrap="none" w:vAnchor="page" w:hAnchor="margin" w:x="28" w:y="13857"/>
        <w:rPr>
          <w:rStyle w:val="C23"/>
          <w:rtl w:val="0"/>
        </w:rPr>
      </w:pPr>
      <w:r>
        <w:rPr>
          <w:rStyle w:val="C23"/>
          <w:rtl w:val="0"/>
        </w:rPr>
        <w:t>Je třeba splnit kritérium a) a dvě z kritérií b) až d).</w:t>
      </w:r>
    </w:p>
    <w:p>
      <w:pPr>
        <w:pStyle w:val="P21"/>
        <w:framePr w:w="7654" w:h="331" w:hRule="exact" w:wrap="none" w:vAnchor="page" w:hAnchor="margin" w:x="28" w:y="15940"/>
        <w:rPr>
          <w:rStyle w:val="C16"/>
          <w:rtl w:val="0"/>
        </w:rPr>
      </w:pPr>
      <w:r>
        <w:rPr>
          <w:rStyle w:val="C16"/>
          <w:rtl w:val="0"/>
        </w:rPr>
        <w:t>Výhybkář, 22.10.2026 9:23:48</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posunu v dopravním obvodu s ručně ovládanými výhybkami a výkolejkami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Prokázat znalost jednotlivých druhů výhybek a výkolejek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vysvětlení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Obsluhovat výhybky a výkolejky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se slovním vysvětlením</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Prokázat znalost použití klíčů od výhybek a výkolejek</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se slovním vysvětlením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Stavět posunové cesty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se slovním vysvětlením</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Obsluha pomocných stavědel v železničních stanicích a vlečkách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Popsat obsluhu pomocných stavědel</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Slovní vysvětlení</w:t>
      </w:r>
    </w:p>
    <w:p>
      <w:pPr>
        <w:pStyle w:val="P16"/>
        <w:framePr w:w="6710" w:h="607" w:hRule="exact" w:wrap="none" w:vAnchor="page" w:hAnchor="margin" w:x="45" w:y="6907"/>
        <w:rPr>
          <w:rStyle w:val="C3"/>
          <w:rtl w:val="0"/>
        </w:rPr>
      </w:pPr>
    </w:p>
    <w:p>
      <w:pPr>
        <w:pStyle w:val="P17"/>
        <w:framePr w:w="6658" w:h="480" w:hRule="exact" w:wrap="none" w:vAnchor="page" w:hAnchor="margin" w:x="71" w:y="6963"/>
        <w:rPr>
          <w:rStyle w:val="C13"/>
          <w:rtl w:val="0"/>
        </w:rPr>
      </w:pPr>
      <w:r>
        <w:rPr>
          <w:rStyle w:val="C13"/>
          <w:rtl w:val="0"/>
        </w:rPr>
        <w:t>b) Převzít a předat obsluhu pomocných stavědel</w:t>
      </w:r>
    </w:p>
    <w:p>
      <w:pPr>
        <w:pStyle w:val="P30"/>
        <w:framePr w:w="3921" w:h="607" w:hRule="exact" w:wrap="none" w:vAnchor="page" w:hAnchor="margin" w:x="6800" w:y="6907"/>
        <w:rPr>
          <w:rStyle w:val="C3"/>
          <w:rtl w:val="0"/>
        </w:rPr>
      </w:pPr>
    </w:p>
    <w:p>
      <w:pPr>
        <w:pStyle w:val="P31"/>
        <w:framePr w:w="3839" w:h="480" w:hRule="exact" w:wrap="none" w:vAnchor="page" w:hAnchor="margin" w:x="6856" w:y="6963"/>
        <w:rPr>
          <w:rStyle w:val="C22"/>
          <w:rtl w:val="0"/>
        </w:rPr>
      </w:pPr>
      <w:r>
        <w:rPr>
          <w:rStyle w:val="C22"/>
          <w:rtl w:val="0"/>
        </w:rPr>
        <w:t>Praktické předvedení se slovním vysvětlením</w:t>
      </w:r>
    </w:p>
    <w:p>
      <w:pPr>
        <w:pStyle w:val="P12"/>
        <w:framePr w:w="6710" w:h="607" w:hRule="exact" w:wrap="none" w:vAnchor="page" w:hAnchor="margin" w:x="45" w:y="7514"/>
        <w:rPr>
          <w:rStyle w:val="C3"/>
          <w:rtl w:val="0"/>
        </w:rPr>
      </w:pPr>
    </w:p>
    <w:p>
      <w:pPr>
        <w:pStyle w:val="P13"/>
        <w:framePr w:w="6658" w:h="480" w:hRule="exact" w:wrap="none" w:vAnchor="page" w:hAnchor="margin" w:x="71" w:y="7570"/>
        <w:rPr>
          <w:rStyle w:val="C11"/>
          <w:rtl w:val="0"/>
        </w:rPr>
      </w:pPr>
      <w:r>
        <w:rPr>
          <w:rStyle w:val="C11"/>
          <w:rtl w:val="0"/>
        </w:rPr>
        <w:t>c) Obsluhovat pomocná stavědla při stavění posunovacích cest</w:t>
      </w:r>
    </w:p>
    <w:p>
      <w:pPr>
        <w:pStyle w:val="P28"/>
        <w:framePr w:w="3921" w:h="607" w:hRule="exact" w:wrap="none" w:vAnchor="page" w:hAnchor="margin" w:x="6800" w:y="7514"/>
        <w:rPr>
          <w:rStyle w:val="C3"/>
          <w:rtl w:val="0"/>
        </w:rPr>
      </w:pPr>
    </w:p>
    <w:p>
      <w:pPr>
        <w:pStyle w:val="P29"/>
        <w:framePr w:w="3839" w:h="480" w:hRule="exact" w:wrap="none" w:vAnchor="page" w:hAnchor="margin" w:x="6856" w:y="7570"/>
        <w:rPr>
          <w:rStyle w:val="C21"/>
          <w:rtl w:val="0"/>
        </w:rPr>
      </w:pPr>
      <w:r>
        <w:rPr>
          <w:rStyle w:val="C21"/>
          <w:rtl w:val="0"/>
        </w:rPr>
        <w:t>Praktické předvedení se slovním vysvětlením</w:t>
      </w:r>
    </w:p>
    <w:p>
      <w:pPr>
        <w:pStyle w:val="P32"/>
        <w:framePr w:w="10710" w:h="248" w:hRule="exact" w:wrap="none" w:vAnchor="page" w:hAnchor="margin" w:x="28" w:y="82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Výhybkář, 22.10.2026 9:23:48</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 Dále stanoví, které pomůcky uchazeč při zkoušce smí používat.</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prokazatelně doložit absolvování Kabinetu bezpečnosti práce, jehož součástí jsou zejména podmínky pro bezpečnost a ochranu zdraví při práci, požární ochrany (PO) a poskytování první pomoci. Zdravotní způsobilost je vyžadována (odkaz na povolání v NSP - http://katalog.nsp.cz/karta_tp.aspx?id_jp=2414&amp;kod_sm1=14).</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pokud možno ověřována v navazujících činnostech s využitím daných technologických postupů zejména v oblasti obsluhy dopravní cesty.</w:t>
      </w:r>
    </w:p>
    <w:p>
      <w:pPr>
        <w:keepNext w:val="0"/>
        <w:keepLines w:val="0"/>
        <w:framePr w:w="10766" w:h="26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i k časovému hledisku zvládání operací.</w:t>
      </w:r>
    </w:p>
    <w:p>
      <w:pPr>
        <w:pStyle w:val="P33"/>
        <w:framePr w:w="10766" w:h="2298" w:hRule="exact" w:wrap="none" w:vAnchor="page" w:hAnchor="margin" w:x="0" w:y="5725"/>
        <w:rPr>
          <w:rStyle w:val="C3"/>
          <w:rtl w:val="0"/>
        </w:rPr>
      </w:pPr>
    </w:p>
    <w:p>
      <w:pPr>
        <w:pStyle w:val="P35"/>
        <w:framePr w:w="10710" w:h="340" w:hRule="exact" w:wrap="none" w:vAnchor="page" w:hAnchor="margin" w:x="28" w:y="5725"/>
        <w:rPr>
          <w:rStyle w:val="C25"/>
          <w:rtl w:val="0"/>
        </w:rPr>
      </w:pPr>
      <w:r>
        <w:rPr>
          <w:rStyle w:val="C25"/>
          <w:rtl w:val="0"/>
        </w:rPr>
        <w:t>Výsledné hodnocení</w:t>
      </w:r>
    </w:p>
    <w:p>
      <w:pPr>
        <w:keepNext w:val="0"/>
        <w:keepLines w:val="0"/>
        <w:framePr w:w="10766" w:h="1958" w:hRule="exact" w:wrap="none" w:vAnchor="page" w:hAnchor="margin" w:x="0" w:y="606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 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vyhověl pro všechny kompetence, nebo „nevyhověl“, pokud uchazeč pro některou kompetenci nevyhověl. Při hodnocení „nevyhověl“ uvádí zkoušející vždy zdůvodnění, které uchazeč svým podpisem bere na vědomí.</w:t>
      </w:r>
    </w:p>
    <w:p>
      <w:pPr>
        <w:pStyle w:val="P33"/>
        <w:framePr w:w="10766" w:h="1146" w:hRule="exact" w:wrap="none" w:vAnchor="page" w:hAnchor="margin" w:x="0" w:y="8250"/>
        <w:rPr>
          <w:rStyle w:val="C3"/>
          <w:rtl w:val="0"/>
        </w:rPr>
      </w:pPr>
    </w:p>
    <w:p>
      <w:pPr>
        <w:pStyle w:val="P35"/>
        <w:framePr w:w="10710" w:h="340" w:hRule="exact" w:wrap="none" w:vAnchor="page" w:hAnchor="margin" w:x="28" w:y="8250"/>
        <w:rPr>
          <w:rStyle w:val="C25"/>
          <w:rtl w:val="0"/>
        </w:rPr>
      </w:pPr>
      <w:r>
        <w:rPr>
          <w:rStyle w:val="C25"/>
          <w:rtl w:val="0"/>
        </w:rPr>
        <w:t>Počet zkoušejících</w:t>
      </w:r>
    </w:p>
    <w:p>
      <w:pPr>
        <w:keepNext w:val="0"/>
        <w:keepLines w:val="0"/>
        <w:framePr w:w="10766" w:h="806" w:hRule="exact" w:wrap="none" w:vAnchor="page" w:hAnchor="margin" w:x="0" w:y="85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právnické osoby.</w:t>
      </w:r>
    </w:p>
    <w:p>
      <w:pPr>
        <w:pStyle w:val="P21"/>
        <w:framePr w:w="7654" w:h="331" w:hRule="exact" w:wrap="none" w:vAnchor="page" w:hAnchor="margin" w:x="28" w:y="15940"/>
        <w:rPr>
          <w:rStyle w:val="C16"/>
          <w:rtl w:val="0"/>
        </w:rPr>
      </w:pPr>
      <w:r>
        <w:rPr>
          <w:rStyle w:val="C16"/>
          <w:rtl w:val="0"/>
        </w:rPr>
        <w:t>Výhybkář, 22.10.2026 9:23:48</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alespoň jednu z následujících variant požadavků:</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a)Střední vzdělání s výučním listem s praxí v délce minimálně 5 let v typové pozici výhybkář, nebo ve vyšší kvalifikaci, která zahrnuje požadavky na tento kvalifikační stupeň (např. výpravčí) v oblasti provozování železniční dopravy, z toho minimálně tři roky v období posledních pěti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b)Střední vzdělání s maturitní zkouškou se zaměřením na provozování dráhy s praxí v délce minimálně 5 let, z toho minimálně dva roky v období posledních pěti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c)Vysokoškolské vzdělání se zaměřením na provozování dráhy s praxí v délce minimálně 5 let v oblasti provozování dráhy, z toho minimálně jeden rok v období posledních dvou let před podáním žádosti o udělení autorizace.</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přípravu zaměřenou na vzdělávání a hodnocení dospělých s důrazem na psychologické aspekty zkoušení dospělých v rozsahu minimálně 12 hodin.</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čestným prohlášením).</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768" w:hRule="exact" w:wrap="none" w:vAnchor="page" w:hAnchor="margin" w:x="0" w:y="9312"/>
        <w:rPr>
          <w:rStyle w:val="C3"/>
          <w:rtl w:val="0"/>
        </w:rPr>
      </w:pPr>
    </w:p>
    <w:p>
      <w:pPr>
        <w:pStyle w:val="P35"/>
        <w:framePr w:w="10710" w:h="340" w:hRule="exact" w:wrap="none" w:vAnchor="page" w:hAnchor="margin" w:x="28" w:y="9312"/>
        <w:rPr>
          <w:rStyle w:val="C25"/>
          <w:rtl w:val="0"/>
        </w:rPr>
      </w:pPr>
      <w:r>
        <w:rPr>
          <w:rStyle w:val="C25"/>
          <w:rtl w:val="0"/>
        </w:rPr>
        <w:t>Nezbytné materiální a technické předpoklady pro provedení zkoušky</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hodnotícího standardu je třeba mít k dispozici příslušný typ sdělovacího a zabezpečovacího zařízení železniční stanice a vlečkách na patřičné úrovni, prostory pro teoretickou a praktickou část zkoušky, popis technologických postupů a text předpisů souvisejících s dopravním výkonem.</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28" w:hRule="exact" w:wrap="none" w:vAnchor="page" w:hAnchor="margin" w:x="0" w:y="9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umožňující srovnání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307"/>
        <w:rPr>
          <w:rStyle w:val="C3"/>
          <w:rtl w:val="0"/>
        </w:rPr>
      </w:pPr>
    </w:p>
    <w:p>
      <w:pPr>
        <w:pStyle w:val="P35"/>
        <w:framePr w:w="10710" w:h="340" w:hRule="exact" w:wrap="none" w:vAnchor="page" w:hAnchor="margin" w:x="28" w:y="12307"/>
        <w:rPr>
          <w:rStyle w:val="C25"/>
          <w:rtl w:val="0"/>
        </w:rPr>
      </w:pPr>
      <w:r>
        <w:rPr>
          <w:rStyle w:val="C25"/>
          <w:rtl w:val="0"/>
        </w:rPr>
        <w:t>Doba přípravy na zkoušku</w:t>
      </w:r>
    </w:p>
    <w:p>
      <w:pPr>
        <w:keepNext w:val="0"/>
        <w:keepLines w:val="0"/>
        <w:framePr w:w="10766" w:h="1036" w:hRule="exact" w:wrap="none" w:vAnchor="page" w:hAnchor="margin" w:x="0" w:y="12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3911"/>
        <w:rPr>
          <w:rStyle w:val="C3"/>
          <w:rtl w:val="0"/>
        </w:rPr>
      </w:pPr>
    </w:p>
    <w:p>
      <w:pPr>
        <w:pStyle w:val="P35"/>
        <w:framePr w:w="10710" w:h="340" w:hRule="exact" w:wrap="none" w:vAnchor="page" w:hAnchor="margin" w:x="28" w:y="13911"/>
        <w:rPr>
          <w:rStyle w:val="C25"/>
          <w:rtl w:val="0"/>
        </w:rPr>
      </w:pPr>
      <w:r>
        <w:rPr>
          <w:rStyle w:val="C25"/>
          <w:rtl w:val="0"/>
        </w:rPr>
        <w:t>Doba pro vykonání zkoušky</w:t>
      </w:r>
    </w:p>
    <w:p>
      <w:pPr>
        <w:keepNext w:val="0"/>
        <w:keepLines w:val="0"/>
        <w:framePr w:w="10766" w:h="806" w:hRule="exact" w:wrap="none" w:vAnchor="page" w:hAnchor="margin" w:x="0" w:y="14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činností rozložena do více dnů.</w:t>
      </w:r>
    </w:p>
    <w:p>
      <w:pPr>
        <w:pStyle w:val="P21"/>
        <w:framePr w:w="7654" w:h="331" w:hRule="exact" w:wrap="none" w:vAnchor="page" w:hAnchor="margin" w:x="28" w:y="15940"/>
        <w:rPr>
          <w:rStyle w:val="C16"/>
          <w:rtl w:val="0"/>
        </w:rPr>
      </w:pPr>
      <w:r>
        <w:rPr>
          <w:rStyle w:val="C16"/>
          <w:rtl w:val="0"/>
        </w:rPr>
        <w:t>Výhybkář, 22.10.2026 9:23:48</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byl připraven Expertním týmem železničář (ETŽ), v němž byly zastoupeny: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dopravy České Republiky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 v Praze</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hodnotícího standardu se dále podílely tyto subjekty:</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 GŘ</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Třinecké železárny,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UNIPETROL doprava,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VIAMONT a. s.</w:t>
      </w:r>
    </w:p>
    <w:p>
      <w:pPr>
        <w:keepNext w:val="0"/>
        <w:keepLines w:val="0"/>
        <w:framePr w:w="10766" w:h="235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Doprava, a. s.</w:t>
      </w:r>
    </w:p>
    <w:p>
      <w:pPr>
        <w:pStyle w:val="P21"/>
        <w:framePr w:w="7654" w:h="331" w:hRule="exact" w:wrap="none" w:vAnchor="page" w:hAnchor="margin" w:x="28" w:y="15940"/>
        <w:rPr>
          <w:rStyle w:val="C16"/>
          <w:rtl w:val="0"/>
        </w:rPr>
      </w:pPr>
      <w:r>
        <w:rPr>
          <w:rStyle w:val="C16"/>
          <w:rtl w:val="0"/>
        </w:rPr>
        <w:t>Výhybkář, 22.10.2026 9:23:48</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