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68263" Type="http://schemas.openxmlformats.org/officeDocument/2006/relationships/officeDocument" Target="/word/document.xml" /><Relationship Id="coreR6C68263" Type="http://schemas.openxmlformats.org/package/2006/relationships/metadata/core-properties" Target="/docProps/core.xml" /><Relationship Id="customR6C682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Výhybkář (kód: 37-007-H)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železniční dopravní cesty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Stavění jízdní cesty pro vlak a posun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železničních návěstidel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zabezpečovacího a sdělovacího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posunu v dopravním obvodu s ručně ovládanými výhybkami a výkolejkami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pomocných stavědel v železničních stanicích a vlečkách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19.01.2010 do: 06.07.2015</w:t>
      </w:r>
    </w:p>
    <w:p>
      <w:pPr>
        <w:pStyle w:val="P21"/>
        <w:framePr w:w="7654" w:h="331" w:hRule="exact" w:wrap="none" w:vAnchor="page" w:hAnchor="margin" w:x="28" w:y="15940"/>
        <w:rPr>
          <w:rStyle w:val="C16"/>
          <w:rtl w:val="0"/>
        </w:rPr>
      </w:pPr>
      <w:r>
        <w:rPr>
          <w:rStyle w:val="C16"/>
          <w:rtl w:val="0"/>
        </w:rPr>
        <w:t>Výhybkář, 11.9.2026 18:47:37</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vybraných značkách a číst trasy v grafikonu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se slovním vysvětlením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dopravních údajů v grafikonu a zapisovat 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se slovním vysvětlením</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nejdůležitější právní předpisy týkající se železniční dopravy</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Slovní vysvětlení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Prokázat znalost základní terminologie železniční dopravy (námezdník, návěstidlo, výhybka, výkolejka, volný schůdný a manipulační prostor, průjezdný průřez; posun, posun mezi dopravnami, přestavná jízda apod.)</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Slovní vysvětlení</w:t>
      </w:r>
    </w:p>
    <w:p>
      <w:pPr>
        <w:pStyle w:val="P32"/>
        <w:framePr w:w="10710" w:h="248" w:hRule="exact" w:wrap="none" w:vAnchor="page" w:hAnchor="margin" w:x="28" w:y="6062"/>
        <w:rPr>
          <w:rStyle w:val="C23"/>
          <w:rtl w:val="0"/>
        </w:rPr>
      </w:pPr>
      <w:r>
        <w:rPr>
          <w:rStyle w:val="C23"/>
          <w:rtl w:val="0"/>
        </w:rPr>
        <w:t>Je třeba splnit kritérium d) a jedno z kritérií a) až c).</w:t>
      </w:r>
    </w:p>
    <w:p>
      <w:pPr>
        <w:pStyle w:val="P23"/>
        <w:framePr w:w="10710" w:h="340" w:hRule="exact" w:wrap="none" w:vAnchor="page" w:hAnchor="margin" w:x="28" w:y="6497"/>
        <w:rPr>
          <w:rStyle w:val="C18"/>
          <w:rtl w:val="0"/>
        </w:rPr>
      </w:pPr>
      <w:r>
        <w:rPr>
          <w:rStyle w:val="C18"/>
          <w:rtl w:val="0"/>
        </w:rPr>
        <w:t>Stavění jízdní cesty pro vlak a posun</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376" w:hRule="exact" w:wrap="none" w:vAnchor="page" w:hAnchor="margin" w:x="45" w:y="7313"/>
        <w:rPr>
          <w:rStyle w:val="C3"/>
          <w:rtl w:val="0"/>
        </w:rPr>
      </w:pPr>
    </w:p>
    <w:p>
      <w:pPr>
        <w:pStyle w:val="P13"/>
        <w:framePr w:w="6658" w:h="249" w:hRule="exact" w:wrap="none" w:vAnchor="page" w:hAnchor="margin" w:x="71" w:y="7369"/>
        <w:rPr>
          <w:rStyle w:val="C11"/>
          <w:rtl w:val="0"/>
        </w:rPr>
      </w:pPr>
      <w:r>
        <w:rPr>
          <w:rStyle w:val="C11"/>
          <w:rtl w:val="0"/>
        </w:rPr>
        <w:t>a) Dodržovat technologické postupy při přípravě jízdní cesty</w:t>
      </w:r>
    </w:p>
    <w:p>
      <w:pPr>
        <w:pStyle w:val="P28"/>
        <w:framePr w:w="3921" w:h="376" w:hRule="exact" w:wrap="none" w:vAnchor="page" w:hAnchor="margin" w:x="6800" w:y="7313"/>
        <w:rPr>
          <w:rStyle w:val="C3"/>
          <w:rtl w:val="0"/>
        </w:rPr>
      </w:pPr>
    </w:p>
    <w:p>
      <w:pPr>
        <w:pStyle w:val="P29"/>
        <w:framePr w:w="3839" w:h="249" w:hRule="exact" w:wrap="none" w:vAnchor="page" w:hAnchor="margin" w:x="6856" w:y="7369"/>
        <w:rPr>
          <w:rStyle w:val="C21"/>
          <w:rtl w:val="0"/>
        </w:rPr>
      </w:pPr>
      <w:r>
        <w:rPr>
          <w:rStyle w:val="C21"/>
          <w:rtl w:val="0"/>
        </w:rPr>
        <w:t>Slovní vysvětlení</w:t>
      </w:r>
    </w:p>
    <w:p>
      <w:pPr>
        <w:pStyle w:val="P16"/>
        <w:framePr w:w="6710" w:h="376" w:hRule="exact" w:wrap="none" w:vAnchor="page" w:hAnchor="margin" w:x="45" w:y="7689"/>
        <w:rPr>
          <w:rStyle w:val="C3"/>
          <w:rtl w:val="0"/>
        </w:rPr>
      </w:pPr>
    </w:p>
    <w:p>
      <w:pPr>
        <w:pStyle w:val="P17"/>
        <w:framePr w:w="6658" w:h="249" w:hRule="exact" w:wrap="none" w:vAnchor="page" w:hAnchor="margin" w:x="71" w:y="7745"/>
        <w:rPr>
          <w:rStyle w:val="C13"/>
          <w:rtl w:val="0"/>
        </w:rPr>
      </w:pPr>
      <w:r>
        <w:rPr>
          <w:rStyle w:val="C13"/>
          <w:rtl w:val="0"/>
        </w:rPr>
        <w:t>b) Organizovat činnosti během mimořádných událostí při stavění jízdní cesty</w:t>
      </w:r>
    </w:p>
    <w:p>
      <w:pPr>
        <w:pStyle w:val="P30"/>
        <w:framePr w:w="3921" w:h="376" w:hRule="exact" w:wrap="none" w:vAnchor="page" w:hAnchor="margin" w:x="6800" w:y="7689"/>
        <w:rPr>
          <w:rStyle w:val="C3"/>
          <w:rtl w:val="0"/>
        </w:rPr>
      </w:pPr>
    </w:p>
    <w:p>
      <w:pPr>
        <w:pStyle w:val="P31"/>
        <w:framePr w:w="3839" w:h="249" w:hRule="exact" w:wrap="none" w:vAnchor="page" w:hAnchor="margin" w:x="6856" w:y="7745"/>
        <w:rPr>
          <w:rStyle w:val="C22"/>
          <w:rtl w:val="0"/>
        </w:rPr>
      </w:pPr>
      <w:r>
        <w:rPr>
          <w:rStyle w:val="C22"/>
          <w:rtl w:val="0"/>
        </w:rPr>
        <w:t>Slovní vysvětlení</w:t>
      </w:r>
    </w:p>
    <w:p>
      <w:pPr>
        <w:pStyle w:val="P32"/>
        <w:framePr w:w="10710" w:h="248" w:hRule="exact" w:wrap="none" w:vAnchor="page" w:hAnchor="margin" w:x="28" w:y="8179"/>
        <w:rPr>
          <w:rStyle w:val="C23"/>
          <w:rtl w:val="0"/>
        </w:rPr>
      </w:pPr>
      <w:r>
        <w:rPr>
          <w:rStyle w:val="C23"/>
          <w:rtl w:val="0"/>
        </w:rPr>
        <w:t>Je třeba splnit obě kritéria.</w:t>
      </w:r>
    </w:p>
    <w:p>
      <w:pPr>
        <w:pStyle w:val="P23"/>
        <w:framePr w:w="10710" w:h="340" w:hRule="exact" w:wrap="none" w:vAnchor="page" w:hAnchor="margin" w:x="28" w:y="8614"/>
        <w:rPr>
          <w:rStyle w:val="C18"/>
          <w:rtl w:val="0"/>
        </w:rPr>
      </w:pPr>
      <w:r>
        <w:rPr>
          <w:rStyle w:val="C18"/>
          <w:rtl w:val="0"/>
        </w:rPr>
        <w:t>Obsluha železničních návěstidel</w:t>
      </w:r>
    </w:p>
    <w:p>
      <w:pPr>
        <w:pStyle w:val="P24"/>
        <w:framePr w:w="6713" w:h="376" w:hRule="exact" w:wrap="none" w:vAnchor="page" w:hAnchor="margin" w:x="45" w:y="9054"/>
        <w:rPr>
          <w:rStyle w:val="C3"/>
          <w:rtl w:val="0"/>
        </w:rPr>
      </w:pPr>
    </w:p>
    <w:p>
      <w:pPr>
        <w:pStyle w:val="P25"/>
        <w:framePr w:w="6661" w:h="249" w:hRule="exact" w:wrap="none" w:vAnchor="page" w:hAnchor="margin" w:x="71" w:y="9125"/>
        <w:rPr>
          <w:rStyle w:val="C19"/>
          <w:rtl w:val="0"/>
        </w:rPr>
      </w:pPr>
      <w:r>
        <w:rPr>
          <w:rStyle w:val="C19"/>
          <w:rtl w:val="0"/>
        </w:rPr>
        <w:t>Kritéria hodnocení</w:t>
      </w:r>
    </w:p>
    <w:p>
      <w:pPr>
        <w:pStyle w:val="P26"/>
        <w:framePr w:w="3918" w:h="376" w:hRule="exact" w:wrap="none" w:vAnchor="page" w:hAnchor="margin" w:x="6803" w:y="9054"/>
        <w:rPr>
          <w:rStyle w:val="C3"/>
          <w:rtl w:val="0"/>
        </w:rPr>
      </w:pPr>
    </w:p>
    <w:p>
      <w:pPr>
        <w:pStyle w:val="P27"/>
        <w:framePr w:w="3836" w:h="249" w:hRule="exact" w:wrap="none" w:vAnchor="page" w:hAnchor="margin" w:x="6859" w:y="9125"/>
        <w:rPr>
          <w:rStyle w:val="C20"/>
          <w:rtl w:val="0"/>
        </w:rPr>
      </w:pPr>
      <w:r>
        <w:rPr>
          <w:rStyle w:val="C20"/>
          <w:rtl w:val="0"/>
        </w:rPr>
        <w:t>Způsoby ověření</w:t>
      </w:r>
    </w:p>
    <w:p>
      <w:pPr>
        <w:pStyle w:val="P12"/>
        <w:framePr w:w="6710" w:h="376" w:hRule="exact" w:wrap="none" w:vAnchor="page" w:hAnchor="margin" w:x="45" w:y="9430"/>
        <w:rPr>
          <w:rStyle w:val="C3"/>
          <w:rtl w:val="0"/>
        </w:rPr>
      </w:pPr>
    </w:p>
    <w:p>
      <w:pPr>
        <w:pStyle w:val="P13"/>
        <w:framePr w:w="6658" w:h="249" w:hRule="exact" w:wrap="none" w:vAnchor="page" w:hAnchor="margin" w:x="71" w:y="9486"/>
        <w:rPr>
          <w:rStyle w:val="C11"/>
          <w:rtl w:val="0"/>
        </w:rPr>
      </w:pPr>
      <w:r>
        <w:rPr>
          <w:rStyle w:val="C11"/>
          <w:rtl w:val="0"/>
        </w:rPr>
        <w:t>a) Popsat funkce železničních návěstidel a návěstí</w:t>
      </w:r>
    </w:p>
    <w:p>
      <w:pPr>
        <w:pStyle w:val="P28"/>
        <w:framePr w:w="3921" w:h="376" w:hRule="exact" w:wrap="none" w:vAnchor="page" w:hAnchor="margin" w:x="6800" w:y="9430"/>
        <w:rPr>
          <w:rStyle w:val="C3"/>
          <w:rtl w:val="0"/>
        </w:rPr>
      </w:pPr>
    </w:p>
    <w:p>
      <w:pPr>
        <w:pStyle w:val="P29"/>
        <w:framePr w:w="3839" w:h="249" w:hRule="exact" w:wrap="none" w:vAnchor="page" w:hAnchor="margin" w:x="6856" w:y="9486"/>
        <w:rPr>
          <w:rStyle w:val="C21"/>
          <w:rtl w:val="0"/>
        </w:rPr>
      </w:pPr>
      <w:r>
        <w:rPr>
          <w:rStyle w:val="C21"/>
          <w:rtl w:val="0"/>
        </w:rPr>
        <w:t>Slovní vysvětlení</w:t>
      </w:r>
    </w:p>
    <w:p>
      <w:pPr>
        <w:pStyle w:val="P16"/>
        <w:framePr w:w="6710" w:h="376" w:hRule="exact" w:wrap="none" w:vAnchor="page" w:hAnchor="margin" w:x="45" w:y="9806"/>
        <w:rPr>
          <w:rStyle w:val="C3"/>
          <w:rtl w:val="0"/>
        </w:rPr>
      </w:pPr>
    </w:p>
    <w:p>
      <w:pPr>
        <w:pStyle w:val="P17"/>
        <w:framePr w:w="6658" w:h="249" w:hRule="exact" w:wrap="none" w:vAnchor="page" w:hAnchor="margin" w:x="71" w:y="9862"/>
        <w:rPr>
          <w:rStyle w:val="C13"/>
          <w:rtl w:val="0"/>
        </w:rPr>
      </w:pPr>
      <w:r>
        <w:rPr>
          <w:rStyle w:val="C13"/>
          <w:rtl w:val="0"/>
        </w:rPr>
        <w:t>b) Popsat obsluhu železničních návěstidel během mimořádných událostí</w:t>
      </w:r>
    </w:p>
    <w:p>
      <w:pPr>
        <w:pStyle w:val="P30"/>
        <w:framePr w:w="3921" w:h="376" w:hRule="exact" w:wrap="none" w:vAnchor="page" w:hAnchor="margin" w:x="6800" w:y="9806"/>
        <w:rPr>
          <w:rStyle w:val="C3"/>
          <w:rtl w:val="0"/>
        </w:rPr>
      </w:pPr>
    </w:p>
    <w:p>
      <w:pPr>
        <w:pStyle w:val="P31"/>
        <w:framePr w:w="3839" w:h="249" w:hRule="exact" w:wrap="none" w:vAnchor="page" w:hAnchor="margin" w:x="6856" w:y="9862"/>
        <w:rPr>
          <w:rStyle w:val="C22"/>
          <w:rtl w:val="0"/>
        </w:rPr>
      </w:pPr>
      <w:r>
        <w:rPr>
          <w:rStyle w:val="C22"/>
          <w:rtl w:val="0"/>
        </w:rPr>
        <w:t>Slovní vysvětlení</w:t>
      </w:r>
    </w:p>
    <w:p>
      <w:pPr>
        <w:pStyle w:val="P32"/>
        <w:framePr w:w="10710" w:h="248" w:hRule="exact" w:wrap="none" w:vAnchor="page" w:hAnchor="margin" w:x="28" w:y="10296"/>
        <w:rPr>
          <w:rStyle w:val="C23"/>
          <w:rtl w:val="0"/>
        </w:rPr>
      </w:pPr>
      <w:r>
        <w:rPr>
          <w:rStyle w:val="C23"/>
          <w:rtl w:val="0"/>
        </w:rPr>
        <w:t>Je třeba splnit obě kritéria.</w:t>
      </w:r>
    </w:p>
    <w:p>
      <w:pPr>
        <w:pStyle w:val="P23"/>
        <w:framePr w:w="10710" w:h="340" w:hRule="exact" w:wrap="none" w:vAnchor="page" w:hAnchor="margin" w:x="28" w:y="10731"/>
        <w:rPr>
          <w:rStyle w:val="C18"/>
          <w:rtl w:val="0"/>
        </w:rPr>
      </w:pPr>
      <w:r>
        <w:rPr>
          <w:rStyle w:val="C18"/>
          <w:rtl w:val="0"/>
        </w:rPr>
        <w:t>Obsluha zabezpečovacího a sdělovacího zařízení</w:t>
      </w:r>
    </w:p>
    <w:p>
      <w:pPr>
        <w:pStyle w:val="P24"/>
        <w:framePr w:w="6713" w:h="376" w:hRule="exact" w:wrap="none" w:vAnchor="page" w:hAnchor="margin" w:x="45" w:y="11171"/>
        <w:rPr>
          <w:rStyle w:val="C3"/>
          <w:rtl w:val="0"/>
        </w:rPr>
      </w:pPr>
    </w:p>
    <w:p>
      <w:pPr>
        <w:pStyle w:val="P25"/>
        <w:framePr w:w="6661" w:h="249" w:hRule="exact" w:wrap="none" w:vAnchor="page" w:hAnchor="margin" w:x="71" w:y="11242"/>
        <w:rPr>
          <w:rStyle w:val="C19"/>
          <w:rtl w:val="0"/>
        </w:rPr>
      </w:pPr>
      <w:r>
        <w:rPr>
          <w:rStyle w:val="C19"/>
          <w:rtl w:val="0"/>
        </w:rPr>
        <w:t>Kritéria hodnocení</w:t>
      </w:r>
    </w:p>
    <w:p>
      <w:pPr>
        <w:pStyle w:val="P26"/>
        <w:framePr w:w="3918" w:h="376" w:hRule="exact" w:wrap="none" w:vAnchor="page" w:hAnchor="margin" w:x="6803" w:y="11171"/>
        <w:rPr>
          <w:rStyle w:val="C3"/>
          <w:rtl w:val="0"/>
        </w:rPr>
      </w:pPr>
    </w:p>
    <w:p>
      <w:pPr>
        <w:pStyle w:val="P27"/>
        <w:framePr w:w="3836" w:h="249" w:hRule="exact" w:wrap="none" w:vAnchor="page" w:hAnchor="margin" w:x="6859" w:y="11242"/>
        <w:rPr>
          <w:rStyle w:val="C20"/>
          <w:rtl w:val="0"/>
        </w:rPr>
      </w:pPr>
      <w:r>
        <w:rPr>
          <w:rStyle w:val="C20"/>
          <w:rtl w:val="0"/>
        </w:rPr>
        <w:t>Způsoby ověření</w:t>
      </w:r>
    </w:p>
    <w:p>
      <w:pPr>
        <w:pStyle w:val="P12"/>
        <w:framePr w:w="6710" w:h="376" w:hRule="exact" w:wrap="none" w:vAnchor="page" w:hAnchor="margin" w:x="45" w:y="11547"/>
        <w:rPr>
          <w:rStyle w:val="C3"/>
          <w:rtl w:val="0"/>
        </w:rPr>
      </w:pPr>
    </w:p>
    <w:p>
      <w:pPr>
        <w:pStyle w:val="P13"/>
        <w:framePr w:w="6658" w:h="249" w:hRule="exact" w:wrap="none" w:vAnchor="page" w:hAnchor="margin" w:x="71" w:y="11603"/>
        <w:rPr>
          <w:rStyle w:val="C11"/>
          <w:rtl w:val="0"/>
        </w:rPr>
      </w:pPr>
      <w:r>
        <w:rPr>
          <w:rStyle w:val="C11"/>
          <w:rtl w:val="0"/>
        </w:rPr>
        <w:t>a) Vyjmenovat jednotlivé druhy zabezpečovacích a sdělovacích zařízení</w:t>
      </w:r>
    </w:p>
    <w:p>
      <w:pPr>
        <w:pStyle w:val="P28"/>
        <w:framePr w:w="3921" w:h="376" w:hRule="exact" w:wrap="none" w:vAnchor="page" w:hAnchor="margin" w:x="6800" w:y="11547"/>
        <w:rPr>
          <w:rStyle w:val="C3"/>
          <w:rtl w:val="0"/>
        </w:rPr>
      </w:pPr>
    </w:p>
    <w:p>
      <w:pPr>
        <w:pStyle w:val="P29"/>
        <w:framePr w:w="3839" w:h="249" w:hRule="exact" w:wrap="none" w:vAnchor="page" w:hAnchor="margin" w:x="6856" w:y="11603"/>
        <w:rPr>
          <w:rStyle w:val="C21"/>
          <w:rtl w:val="0"/>
        </w:rPr>
      </w:pPr>
      <w:r>
        <w:rPr>
          <w:rStyle w:val="C21"/>
          <w:rtl w:val="0"/>
        </w:rPr>
        <w:t>Slovní vysvětlení</w:t>
      </w:r>
    </w:p>
    <w:p>
      <w:pPr>
        <w:pStyle w:val="P16"/>
        <w:framePr w:w="6710" w:h="607" w:hRule="exact" w:wrap="none" w:vAnchor="page" w:hAnchor="margin" w:x="45" w:y="11923"/>
        <w:rPr>
          <w:rStyle w:val="C3"/>
          <w:rtl w:val="0"/>
        </w:rPr>
      </w:pPr>
    </w:p>
    <w:p>
      <w:pPr>
        <w:pStyle w:val="P17"/>
        <w:framePr w:w="6658" w:h="480" w:hRule="exact" w:wrap="none" w:vAnchor="page" w:hAnchor="margin" w:x="71" w:y="11979"/>
        <w:rPr>
          <w:rStyle w:val="C13"/>
          <w:rtl w:val="0"/>
        </w:rPr>
      </w:pPr>
      <w:r>
        <w:rPr>
          <w:rStyle w:val="C13"/>
          <w:rtl w:val="0"/>
        </w:rPr>
        <w:t>b) Obsluhovat zabezpečovací a sdělovací zařízení</w:t>
      </w:r>
    </w:p>
    <w:p>
      <w:pPr>
        <w:pStyle w:val="P30"/>
        <w:framePr w:w="3921" w:h="607" w:hRule="exact" w:wrap="none" w:vAnchor="page" w:hAnchor="margin" w:x="6800" w:y="11923"/>
        <w:rPr>
          <w:rStyle w:val="C3"/>
          <w:rtl w:val="0"/>
        </w:rPr>
      </w:pPr>
    </w:p>
    <w:p>
      <w:pPr>
        <w:pStyle w:val="P31"/>
        <w:framePr w:w="3839" w:h="480" w:hRule="exact" w:wrap="none" w:vAnchor="page" w:hAnchor="margin" w:x="6856" w:y="11979"/>
        <w:rPr>
          <w:rStyle w:val="C22"/>
          <w:rtl w:val="0"/>
        </w:rPr>
      </w:pPr>
      <w:r>
        <w:rPr>
          <w:rStyle w:val="C22"/>
          <w:rtl w:val="0"/>
        </w:rPr>
        <w:t>Praktické předvedení se slovním vysvětlením</w:t>
      </w:r>
    </w:p>
    <w:p>
      <w:pPr>
        <w:pStyle w:val="P12"/>
        <w:framePr w:w="6710" w:h="607" w:hRule="exact" w:wrap="none" w:vAnchor="page" w:hAnchor="margin" w:x="45" w:y="12530"/>
        <w:rPr>
          <w:rStyle w:val="C3"/>
          <w:rtl w:val="0"/>
        </w:rPr>
      </w:pPr>
    </w:p>
    <w:p>
      <w:pPr>
        <w:pStyle w:val="P13"/>
        <w:framePr w:w="6658" w:h="480" w:hRule="exact" w:wrap="none" w:vAnchor="page" w:hAnchor="margin" w:x="71" w:y="12586"/>
        <w:rPr>
          <w:rStyle w:val="C11"/>
          <w:rtl w:val="0"/>
        </w:rPr>
      </w:pPr>
      <w:r>
        <w:rPr>
          <w:rStyle w:val="C11"/>
          <w:rtl w:val="0"/>
        </w:rPr>
        <w:t>c) Sjednávat jízdy (rozkazy, hlášení)</w:t>
      </w:r>
    </w:p>
    <w:p>
      <w:pPr>
        <w:pStyle w:val="P28"/>
        <w:framePr w:w="3921" w:h="607" w:hRule="exact" w:wrap="none" w:vAnchor="page" w:hAnchor="margin" w:x="6800" w:y="12530"/>
        <w:rPr>
          <w:rStyle w:val="C3"/>
          <w:rtl w:val="0"/>
        </w:rPr>
      </w:pPr>
    </w:p>
    <w:p>
      <w:pPr>
        <w:pStyle w:val="P29"/>
        <w:framePr w:w="3839" w:h="480" w:hRule="exact" w:wrap="none" w:vAnchor="page" w:hAnchor="margin" w:x="6856" w:y="12586"/>
        <w:rPr>
          <w:rStyle w:val="C21"/>
          <w:rtl w:val="0"/>
        </w:rPr>
      </w:pPr>
      <w:r>
        <w:rPr>
          <w:rStyle w:val="C21"/>
          <w:rtl w:val="0"/>
        </w:rPr>
        <w:t>Praktické předvedení se slovním vysvětlením</w:t>
      </w:r>
    </w:p>
    <w:p>
      <w:pPr>
        <w:pStyle w:val="P16"/>
        <w:framePr w:w="6710" w:h="607" w:hRule="exact" w:wrap="none" w:vAnchor="page" w:hAnchor="margin" w:x="45" w:y="13137"/>
        <w:rPr>
          <w:rStyle w:val="C3"/>
          <w:rtl w:val="0"/>
        </w:rPr>
      </w:pPr>
    </w:p>
    <w:p>
      <w:pPr>
        <w:pStyle w:val="P17"/>
        <w:framePr w:w="6658" w:h="480" w:hRule="exact" w:wrap="none" w:vAnchor="page" w:hAnchor="margin" w:x="71" w:y="13193"/>
        <w:rPr>
          <w:rStyle w:val="C13"/>
          <w:rtl w:val="0"/>
        </w:rPr>
      </w:pPr>
      <w:r>
        <w:rPr>
          <w:rStyle w:val="C13"/>
          <w:rtl w:val="0"/>
        </w:rPr>
        <w:t>d) Popsat obsluhu zabezpečovacího a sdělovacího zařízení během mimořádných událostí</w:t>
      </w:r>
    </w:p>
    <w:p>
      <w:pPr>
        <w:pStyle w:val="P30"/>
        <w:framePr w:w="3921" w:h="607" w:hRule="exact" w:wrap="none" w:vAnchor="page" w:hAnchor="margin" w:x="6800" w:y="13137"/>
        <w:rPr>
          <w:rStyle w:val="C3"/>
          <w:rtl w:val="0"/>
        </w:rPr>
      </w:pPr>
    </w:p>
    <w:p>
      <w:pPr>
        <w:pStyle w:val="P31"/>
        <w:framePr w:w="3839" w:h="480" w:hRule="exact" w:wrap="none" w:vAnchor="page" w:hAnchor="margin" w:x="6856" w:y="13193"/>
        <w:rPr>
          <w:rStyle w:val="C22"/>
          <w:rtl w:val="0"/>
        </w:rPr>
      </w:pPr>
      <w:r>
        <w:rPr>
          <w:rStyle w:val="C22"/>
          <w:rtl w:val="0"/>
        </w:rPr>
        <w:t>Slovní vysvětlení</w:t>
      </w:r>
    </w:p>
    <w:p>
      <w:pPr>
        <w:pStyle w:val="P32"/>
        <w:framePr w:w="10710" w:h="248" w:hRule="exact" w:wrap="none" w:vAnchor="page" w:hAnchor="margin" w:x="28" w:y="13857"/>
        <w:rPr>
          <w:rStyle w:val="C23"/>
          <w:rtl w:val="0"/>
        </w:rPr>
      </w:pPr>
      <w:r>
        <w:rPr>
          <w:rStyle w:val="C23"/>
          <w:rtl w:val="0"/>
        </w:rPr>
        <w:t>Je třeba splnit kritérium a) a dvě z kritérií b) až d).</w:t>
      </w:r>
    </w:p>
    <w:p>
      <w:pPr>
        <w:pStyle w:val="P21"/>
        <w:framePr w:w="7654" w:h="331" w:hRule="exact" w:wrap="none" w:vAnchor="page" w:hAnchor="margin" w:x="28" w:y="15940"/>
        <w:rPr>
          <w:rStyle w:val="C16"/>
          <w:rtl w:val="0"/>
        </w:rPr>
      </w:pPr>
      <w:r>
        <w:rPr>
          <w:rStyle w:val="C16"/>
          <w:rtl w:val="0"/>
        </w:rPr>
        <w:t>Výhybkář, 11.9.2026 18:47:37</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posunu v dopravním obvodu s ručně ovládanými výhybkami a výkolejkami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jednotlivých druhů výhybek a výkolejek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Slovní vysvětlení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Obsluhovat výhybky a výkolejky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se slovním vysvětlením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Prokázat znalost použití klíčů od výhybek a výkolejek</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se slovním vysvětlením</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Stavět posunové cesty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se slovním vysvětlením</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Obsluha pomocných stavědel v železničních stanicích a vlečkách</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Popsat obsluhu pomocných stavědel</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Slovní vysvětlení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Převzít a předat obsluhu pomocných stavědel</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 se slovním vysvětlením</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Obsluhovat pomocná stavědla při stavění posunovacích cest</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se slovním vysvětlením</w:t>
      </w:r>
    </w:p>
    <w:p>
      <w:pPr>
        <w:pStyle w:val="P32"/>
        <w:framePr w:w="10710" w:h="248" w:hRule="exact" w:wrap="none" w:vAnchor="page" w:hAnchor="margin" w:x="28" w:y="82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Výhybkář, 11.9.2026 18:47:37</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uchazeč při zkoušce smí používat.</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prokazatelně doložit absolvování Kabinetu bezpečnosti práce, jehož součástí jsou zejména podmínky pro bezpečnost a ochranu zdraví při práci, požární ochrany (PO) a poskytování první pomoci. Zdravotní způsobilost je vyžadována (odkaz na povolání v NSP - http://katalog.nsp.cz/karta_tp.aspx?id_jp=2414&amp;kod_sm1=14).</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obsluhy dopravní cesty.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pStyle w:val="P33"/>
        <w:framePr w:w="10766" w:h="2298" w:hRule="exact" w:wrap="none" w:vAnchor="page" w:hAnchor="margin" w:x="0" w:y="5725"/>
        <w:rPr>
          <w:rStyle w:val="C3"/>
          <w:rtl w:val="0"/>
        </w:rPr>
      </w:pPr>
    </w:p>
    <w:p>
      <w:pPr>
        <w:pStyle w:val="P35"/>
        <w:framePr w:w="10710" w:h="340" w:hRule="exact" w:wrap="none" w:vAnchor="page" w:hAnchor="margin" w:x="28" w:y="5725"/>
        <w:rPr>
          <w:rStyle w:val="C25"/>
          <w:rtl w:val="0"/>
        </w:rPr>
      </w:pPr>
      <w:r>
        <w:rPr>
          <w:rStyle w:val="C25"/>
          <w:rtl w:val="0"/>
        </w:rPr>
        <w:t>Výsledné hodnocení</w:t>
      </w:r>
    </w:p>
    <w:p>
      <w:pPr>
        <w:keepNext w:val="0"/>
        <w:keepLines w:val="0"/>
        <w:framePr w:w="10766" w:h="1958"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právnické osoby. 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8250"/>
        <w:rPr>
          <w:rStyle w:val="C3"/>
          <w:rtl w:val="0"/>
        </w:rPr>
      </w:pPr>
    </w:p>
    <w:p>
      <w:pPr>
        <w:pStyle w:val="P35"/>
        <w:framePr w:w="10710" w:h="340" w:hRule="exact" w:wrap="none" w:vAnchor="page" w:hAnchor="margin" w:x="28" w:y="8250"/>
        <w:rPr>
          <w:rStyle w:val="C25"/>
          <w:rtl w:val="0"/>
        </w:rPr>
      </w:pPr>
      <w:r>
        <w:rPr>
          <w:rStyle w:val="C25"/>
          <w:rtl w:val="0"/>
        </w:rPr>
        <w:t>Počet zkoušejících</w:t>
      </w:r>
    </w:p>
    <w:p>
      <w:pPr>
        <w:keepNext w:val="0"/>
        <w:keepLines w:val="0"/>
        <w:framePr w:w="10766" w:h="806" w:hRule="exact" w:wrap="none" w:vAnchor="page" w:hAnchor="margin" w:x="0" w:y="85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právnické osoby.</w:t>
      </w:r>
    </w:p>
    <w:p>
      <w:pPr>
        <w:pStyle w:val="P21"/>
        <w:framePr w:w="7654" w:h="331" w:hRule="exact" w:wrap="none" w:vAnchor="page" w:hAnchor="margin" w:x="28" w:y="15940"/>
        <w:rPr>
          <w:rStyle w:val="C16"/>
          <w:rtl w:val="0"/>
        </w:rPr>
      </w:pPr>
      <w:r>
        <w:rPr>
          <w:rStyle w:val="C16"/>
          <w:rtl w:val="0"/>
        </w:rPr>
        <w:t>Výhybkář, 11.9.2026 18:47:37</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s praxí v délce minimálně 5 let v typové pozici výhybkář, nebo ve vyšší kvalifikaci, která zahrnuje požadavky na tento kvalifikační stupeň (např. výpravčí) v oblasti provozování železniční dopravy, z toho minimálně tři roky v období posledních pěti let před podáním žádosti o udělení autorizace.</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se zaměřením na provozování dráhy s praxí v délce minimálně 5 let, z toho minimálně dva roky v období posledních pěti let před podáním žádosti o udělení autorizace.</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c)Vysokoškolské vzdělání se zaměřením na provozování dráhy s praxí v délce minimálně 5 let v oblasti provozování dráhy, z toho minimálně jeden rok v období posledních dvou let před podáním žádosti o udělení autorizace.</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přípravu zaměřenou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2768"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0"/>
        <w:framePr w:w="10766" w:h="2428"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hodnotícího standardu je třeba mít k dispozici příslušný typ sdělovacího a zabezpečovacího zařízení železniční stanice a vlečkách na patřičné úrovni, prostory pro teoretickou a praktickou část zkoušky, popis technologických postupů a text předpisů souvisejících s dopravním výkonem.</w:t>
      </w:r>
    </w:p>
    <w:p>
      <w:pPr>
        <w:keepNext w:val="0"/>
        <w:keepLines w:val="0"/>
        <w:framePr w:w="10766" w:h="2428"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28"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umožňující srovnání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2307"/>
        <w:rPr>
          <w:rStyle w:val="C3"/>
          <w:rtl w:val="0"/>
        </w:rPr>
      </w:pPr>
    </w:p>
    <w:p>
      <w:pPr>
        <w:pStyle w:val="P35"/>
        <w:framePr w:w="10710" w:h="340" w:hRule="exact" w:wrap="none" w:vAnchor="page" w:hAnchor="margin" w:x="28" w:y="12307"/>
        <w:rPr>
          <w:rStyle w:val="C25"/>
          <w:rtl w:val="0"/>
        </w:rPr>
      </w:pPr>
      <w:r>
        <w:rPr>
          <w:rStyle w:val="C25"/>
          <w:rtl w:val="0"/>
        </w:rPr>
        <w:t>Doba přípravy na zkoušku</w:t>
      </w:r>
    </w:p>
    <w:p>
      <w:pPr>
        <w:keepNext w:val="0"/>
        <w:keepLines w:val="0"/>
        <w:framePr w:w="10766" w:h="1036" w:hRule="exact" w:wrap="none" w:vAnchor="page" w:hAnchor="margin" w:x="0" w:y="12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3911"/>
        <w:rPr>
          <w:rStyle w:val="C3"/>
          <w:rtl w:val="0"/>
        </w:rPr>
      </w:pPr>
    </w:p>
    <w:p>
      <w:pPr>
        <w:pStyle w:val="P35"/>
        <w:framePr w:w="10710" w:h="340" w:hRule="exact" w:wrap="none" w:vAnchor="page" w:hAnchor="margin" w:x="28" w:y="13911"/>
        <w:rPr>
          <w:rStyle w:val="C25"/>
          <w:rtl w:val="0"/>
        </w:rPr>
      </w:pPr>
      <w:r>
        <w:rPr>
          <w:rStyle w:val="C25"/>
          <w:rtl w:val="0"/>
        </w:rPr>
        <w:t>Doba pro vykonání zkoušky</w:t>
      </w:r>
    </w:p>
    <w:p>
      <w:pPr>
        <w:keepNext w:val="0"/>
        <w:keepLines w:val="0"/>
        <w:framePr w:w="10766" w:h="806" w:hRule="exact" w:wrap="none" w:vAnchor="page" w:hAnchor="margin" w:x="0" w:y="14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Výhybkář, 11.9.2026 18:47:37</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Expertním týmem železničář (ETŽ), v němž byly zastoupeny:</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dopravy České Republiky</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 GŘ</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doprava, a. s.</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VIAMONT a. s.</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Doprava, a. s.</w:t>
      </w:r>
    </w:p>
    <w:p>
      <w:pPr>
        <w:pStyle w:val="P21"/>
        <w:framePr w:w="7654" w:h="331" w:hRule="exact" w:wrap="none" w:vAnchor="page" w:hAnchor="margin" w:x="28" w:y="15940"/>
        <w:rPr>
          <w:rStyle w:val="C16"/>
          <w:rtl w:val="0"/>
        </w:rPr>
      </w:pPr>
      <w:r>
        <w:rPr>
          <w:rStyle w:val="C16"/>
          <w:rtl w:val="0"/>
        </w:rPr>
        <w:t>Výhybkář, 11.9.2026 18:47:37</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