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589F29FC" Type="http://schemas.openxmlformats.org/officeDocument/2006/relationships/officeDocument" Target="/word/document.xml" /><Relationship Id="coreR589F29FC" Type="http://schemas.openxmlformats.org/package/2006/relationships/metadata/core-properties" Target="/docProps/core.xml" /><Relationship Id="customR589F29FC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3240" w:h="794" w:hRule="exact" w:wrap="none" w:vAnchor="page" w:hAnchor="margin" w:x="7490" w:y="720"/>
        <w:rPr>
          <w:rStyle w:val="C4"/>
          <w:rtl w:val="0"/>
        </w:rPr>
      </w:pPr>
      <w:r>
        <w:rPr>
          <w:rStyle w:val="C4"/>
          <w:rtl w:val="0"/>
        </w:rPr>
        <w:t>Další informace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Vlakvedoucí osobní přepravy (kód: 37-015-H)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dopravy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Doprava a spoje (kód: 37)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Obsluha železniční osobní dopravy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3</w:t>
      </w:r>
    </w:p>
    <w:p>
      <w:pPr>
        <w:pStyle w:val="P7"/>
        <w:framePr w:w="8788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8"/>
        <w:framePr w:w="2928" w:h="248" w:hRule="exact" w:wrap="none" w:vAnchor="page" w:hAnchor="margin" w:x="28" w:y="5073"/>
        <w:rPr>
          <w:rStyle w:val="C9"/>
          <w:rtl w:val="0"/>
        </w:rPr>
      </w:pPr>
      <w:r>
        <w:rPr>
          <w:rStyle w:val="C9"/>
          <w:rtl w:val="0"/>
        </w:rPr>
        <w:t>Standard je platný od: 28.04.2015</w:t>
      </w: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Vlakvedoucí osobní přepravy, 30.9.2026 8:34:34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1 z 2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240" w:h="794" w:hRule="exact" w:wrap="none" w:vAnchor="page" w:hAnchor="margin" w:x="7490" w:y="720"/>
        <w:rPr>
          <w:rStyle w:val="C4"/>
          <w:rtl w:val="0"/>
        </w:rPr>
      </w:pPr>
      <w:r>
        <w:rPr>
          <w:rStyle w:val="C4"/>
          <w:rtl w:val="0"/>
        </w:rPr>
        <w:t>Další informace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340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Další informace</w:t>
      </w:r>
    </w:p>
    <w:p>
      <w:pPr>
        <w:pStyle w:val="P11"/>
        <w:framePr w:w="10710" w:h="340" w:hRule="exact" w:wrap="none" w:vAnchor="page" w:hAnchor="margin" w:x="28" w:y="2721"/>
        <w:rPr>
          <w:rStyle w:val="C12"/>
          <w:rtl w:val="0"/>
        </w:rPr>
      </w:pPr>
      <w:r>
        <w:rPr>
          <w:rStyle w:val="C12"/>
          <w:rtl w:val="0"/>
        </w:rPr>
        <w:t>Obory vzdělání</w:t>
      </w:r>
    </w:p>
    <w:p>
      <w:pPr>
        <w:pStyle w:val="P12"/>
        <w:framePr w:w="10710" w:h="478" w:hRule="exact" w:wrap="none" w:vAnchor="page" w:hAnchor="margin" w:x="28" w:y="3175"/>
        <w:rPr>
          <w:rStyle w:val="C13"/>
          <w:rtl w:val="0"/>
        </w:rPr>
      </w:pPr>
      <w:r>
        <w:rPr>
          <w:rStyle w:val="C13"/>
          <w:rtl w:val="0"/>
        </w:rPr>
        <w:t>K závěrečné zkoušce z oboru vzdělání Železničář (kód: 37-52-H/01) lze být připuštěn po předložení osvědčení o získání některé z uvedených skupin profesních kvalifikací:</w:t>
      </w:r>
    </w:p>
    <w:p>
      <w:pPr>
        <w:pStyle w:val="P13"/>
        <w:framePr w:w="398" w:h="268" w:hRule="exact" w:wrap="none" w:vAnchor="page" w:hAnchor="margin" w:x="28" w:y="3767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3767"/>
        <w:rPr>
          <w:rStyle w:val="C15"/>
          <w:rtl w:val="0"/>
        </w:rPr>
      </w:pPr>
      <w:r>
        <w:rPr>
          <w:rStyle w:val="C15"/>
          <w:rtl w:val="0"/>
        </w:rPr>
        <w:t>Platnost od 7.4.2021 do neomezeně</w:t>
      </w:r>
    </w:p>
    <w:p>
      <w:pPr>
        <w:pStyle w:val="P12"/>
        <w:framePr w:w="10256" w:h="248" w:hRule="exact" w:wrap="none" w:vAnchor="page" w:hAnchor="margin" w:x="482" w:y="4035"/>
        <w:rPr>
          <w:rStyle w:val="C13"/>
          <w:rtl w:val="0"/>
        </w:rPr>
      </w:pPr>
      <w:r>
        <w:rPr>
          <w:rStyle w:val="C13"/>
          <w:rtl w:val="0"/>
        </w:rPr>
        <w:t>Dozorce/dozorkyně výhybek (kód: 37-006-H)</w:t>
      </w:r>
    </w:p>
    <w:p>
      <w:pPr>
        <w:pStyle w:val="P12"/>
        <w:framePr w:w="10256" w:h="248" w:hRule="exact" w:wrap="none" w:vAnchor="page" w:hAnchor="margin" w:x="482" w:y="4282"/>
        <w:rPr>
          <w:rStyle w:val="C13"/>
          <w:rtl w:val="0"/>
        </w:rPr>
      </w:pPr>
      <w:r>
        <w:rPr>
          <w:rStyle w:val="C13"/>
          <w:rtl w:val="0"/>
        </w:rPr>
        <w:t>Signalista/signalistka (kód: 37-008-H)</w:t>
      </w:r>
    </w:p>
    <w:p>
      <w:pPr>
        <w:pStyle w:val="P12"/>
        <w:framePr w:w="10256" w:h="248" w:hRule="exact" w:wrap="none" w:vAnchor="page" w:hAnchor="margin" w:x="482" w:y="4530"/>
        <w:rPr>
          <w:rStyle w:val="C13"/>
          <w:rtl w:val="0"/>
        </w:rPr>
      </w:pPr>
      <w:r>
        <w:rPr>
          <w:rStyle w:val="C13"/>
          <w:rtl w:val="0"/>
        </w:rPr>
        <w:t>Tranzitér/tranzitérka (kód: 37-014-H)</w:t>
      </w:r>
    </w:p>
    <w:p>
      <w:pPr>
        <w:pStyle w:val="P12"/>
        <w:framePr w:w="10256" w:h="248" w:hRule="exact" w:wrap="none" w:vAnchor="page" w:hAnchor="margin" w:x="482" w:y="4778"/>
        <w:rPr>
          <w:rStyle w:val="C13"/>
          <w:rtl w:val="0"/>
        </w:rPr>
      </w:pPr>
      <w:r>
        <w:rPr>
          <w:rStyle w:val="C13"/>
          <w:rtl w:val="0"/>
        </w:rPr>
        <w:t>Vedoucí posunu (kód: 37-012-H)</w:t>
      </w:r>
    </w:p>
    <w:p>
      <w:pPr>
        <w:pStyle w:val="P12"/>
        <w:framePr w:w="10256" w:h="248" w:hRule="exact" w:wrap="none" w:vAnchor="page" w:hAnchor="margin" w:x="482" w:y="5026"/>
        <w:rPr>
          <w:rStyle w:val="C13"/>
          <w:rtl w:val="0"/>
        </w:rPr>
      </w:pPr>
      <w:r>
        <w:rPr>
          <w:rStyle w:val="C13"/>
          <w:rtl w:val="0"/>
        </w:rPr>
        <w:t>Vlakvedoucí osobní přepravy (kód: 37-015-H)</w:t>
      </w:r>
    </w:p>
    <w:p>
      <w:pPr>
        <w:pStyle w:val="P13"/>
        <w:framePr w:w="398" w:h="268" w:hRule="exact" w:wrap="none" w:vAnchor="page" w:hAnchor="margin" w:x="28" w:y="5387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5387"/>
        <w:rPr>
          <w:rStyle w:val="C15"/>
          <w:rtl w:val="0"/>
        </w:rPr>
      </w:pPr>
      <w:r>
        <w:rPr>
          <w:rStyle w:val="C15"/>
          <w:rtl w:val="0"/>
        </w:rPr>
        <w:t>Platnost od 7.4.2021 do neomezeně</w:t>
      </w:r>
    </w:p>
    <w:p>
      <w:pPr>
        <w:pStyle w:val="P12"/>
        <w:framePr w:w="10256" w:h="248" w:hRule="exact" w:wrap="none" w:vAnchor="page" w:hAnchor="margin" w:x="482" w:y="5655"/>
        <w:rPr>
          <w:rStyle w:val="C13"/>
          <w:rtl w:val="0"/>
        </w:rPr>
      </w:pPr>
      <w:r>
        <w:rPr>
          <w:rStyle w:val="C13"/>
          <w:rtl w:val="0"/>
        </w:rPr>
        <w:t>Operátor/operátorka železniční dopravy (kód: 37-009-H)</w:t>
      </w:r>
    </w:p>
    <w:p>
      <w:pPr>
        <w:pStyle w:val="P12"/>
        <w:framePr w:w="10256" w:h="248" w:hRule="exact" w:wrap="none" w:vAnchor="page" w:hAnchor="margin" w:x="482" w:y="5903"/>
        <w:rPr>
          <w:rStyle w:val="C13"/>
          <w:rtl w:val="0"/>
        </w:rPr>
      </w:pPr>
      <w:r>
        <w:rPr>
          <w:rStyle w:val="C13"/>
          <w:rtl w:val="0"/>
        </w:rPr>
        <w:t>Posunovač/posunovačka (kód: 37-013-H)</w:t>
      </w:r>
    </w:p>
    <w:p>
      <w:pPr>
        <w:pStyle w:val="P12"/>
        <w:framePr w:w="10256" w:h="248" w:hRule="exact" w:wrap="none" w:vAnchor="page" w:hAnchor="margin" w:x="482" w:y="6151"/>
        <w:rPr>
          <w:rStyle w:val="C13"/>
          <w:rtl w:val="0"/>
        </w:rPr>
      </w:pPr>
      <w:r>
        <w:rPr>
          <w:rStyle w:val="C13"/>
          <w:rtl w:val="0"/>
        </w:rPr>
        <w:t>Průvodčí osobní přepravy (kód: 37-016-H)</w:t>
      </w:r>
    </w:p>
    <w:p>
      <w:pPr>
        <w:pStyle w:val="P12"/>
        <w:framePr w:w="10256" w:h="248" w:hRule="exact" w:wrap="none" w:vAnchor="page" w:hAnchor="margin" w:x="482" w:y="6399"/>
        <w:rPr>
          <w:rStyle w:val="C13"/>
          <w:rtl w:val="0"/>
        </w:rPr>
      </w:pPr>
      <w:r>
        <w:rPr>
          <w:rStyle w:val="C13"/>
          <w:rtl w:val="0"/>
        </w:rPr>
        <w:t>Signalista/signalistka (kód: 37-008-H)</w:t>
      </w:r>
    </w:p>
    <w:p>
      <w:pPr>
        <w:pStyle w:val="P12"/>
        <w:framePr w:w="10256" w:h="248" w:hRule="exact" w:wrap="none" w:vAnchor="page" w:hAnchor="margin" w:x="482" w:y="6647"/>
        <w:rPr>
          <w:rStyle w:val="C13"/>
          <w:rtl w:val="0"/>
        </w:rPr>
      </w:pPr>
      <w:r>
        <w:rPr>
          <w:rStyle w:val="C13"/>
          <w:rtl w:val="0"/>
        </w:rPr>
        <w:t>Tranzitér/tranzitérka (kód: 37-014-H)</w:t>
      </w:r>
    </w:p>
    <w:p>
      <w:pPr>
        <w:pStyle w:val="P13"/>
        <w:framePr w:w="398" w:h="268" w:hRule="exact" w:wrap="none" w:vAnchor="page" w:hAnchor="margin" w:x="28" w:y="7008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7008"/>
        <w:rPr>
          <w:rStyle w:val="C15"/>
          <w:rtl w:val="0"/>
        </w:rPr>
      </w:pPr>
      <w:r>
        <w:rPr>
          <w:rStyle w:val="C15"/>
          <w:rtl w:val="0"/>
        </w:rPr>
        <w:t>Platnost od 19.1.2010 do 18.4.2021</w:t>
      </w:r>
    </w:p>
    <w:p>
      <w:pPr>
        <w:pStyle w:val="P12"/>
        <w:framePr w:w="10256" w:h="248" w:hRule="exact" w:wrap="none" w:vAnchor="page" w:hAnchor="margin" w:x="482" w:y="7276"/>
        <w:rPr>
          <w:rStyle w:val="C13"/>
          <w:rtl w:val="0"/>
        </w:rPr>
      </w:pPr>
      <w:r>
        <w:rPr>
          <w:rStyle w:val="C13"/>
          <w:rtl w:val="0"/>
        </w:rPr>
        <w:t>Průvodčí osobní přepravy (kód: 37-016-H)</w:t>
      </w:r>
    </w:p>
    <w:p>
      <w:pPr>
        <w:pStyle w:val="P12"/>
        <w:framePr w:w="10256" w:h="248" w:hRule="exact" w:wrap="none" w:vAnchor="page" w:hAnchor="margin" w:x="482" w:y="7524"/>
        <w:rPr>
          <w:rStyle w:val="C13"/>
          <w:rtl w:val="0"/>
        </w:rPr>
      </w:pPr>
      <w:r>
        <w:rPr>
          <w:rStyle w:val="C13"/>
          <w:rtl w:val="0"/>
        </w:rPr>
        <w:t>Vlakvedoucí osobní přepravy (kód: 37-015-H)</w:t>
      </w:r>
    </w:p>
    <w:p>
      <w:pPr>
        <w:pStyle w:val="P6"/>
        <w:framePr w:w="10710" w:h="113" w:hRule="exact" w:wrap="none" w:vAnchor="page" w:hAnchor="margin" w:x="28" w:y="7772"/>
        <w:rPr>
          <w:rStyle w:val="C7"/>
          <w:rtl w:val="0"/>
        </w:rPr>
      </w:pPr>
    </w:p>
    <w:p>
      <w:pPr>
        <w:pStyle w:val="P11"/>
        <w:framePr w:w="10710" w:h="340" w:hRule="exact" w:wrap="none" w:vAnchor="page" w:hAnchor="margin" w:x="28" w:y="8112"/>
        <w:rPr>
          <w:rStyle w:val="C12"/>
          <w:rtl w:val="0"/>
        </w:rPr>
      </w:pPr>
      <w:r>
        <w:rPr>
          <w:rStyle w:val="C12"/>
          <w:rtl w:val="0"/>
        </w:rPr>
        <w:t>Úplné profesní kvalifikace</w:t>
      </w:r>
    </w:p>
    <w:p>
      <w:pPr>
        <w:pStyle w:val="P15"/>
        <w:framePr w:w="10710" w:h="248" w:hRule="exact" w:wrap="none" w:vAnchor="page" w:hAnchor="margin" w:x="28" w:y="8565"/>
        <w:rPr>
          <w:rStyle w:val="C16"/>
          <w:rtl w:val="0"/>
        </w:rPr>
      </w:pPr>
      <w:r>
        <w:rPr>
          <w:rStyle w:val="C16"/>
          <w:rtl w:val="0"/>
        </w:rPr>
        <w:t>Platnost od 7.4.2021 do neomezeně</w:t>
      </w:r>
    </w:p>
    <w:p>
      <w:pPr>
        <w:pStyle w:val="P12"/>
        <w:framePr w:w="10710" w:h="478" w:hRule="exact" w:wrap="none" w:vAnchor="page" w:hAnchor="margin" w:x="28" w:y="8813"/>
        <w:rPr>
          <w:rStyle w:val="C13"/>
          <w:rtl w:val="0"/>
        </w:rPr>
      </w:pPr>
      <w:r>
        <w:rPr>
          <w:rStyle w:val="C13"/>
          <w:rtl w:val="0"/>
        </w:rPr>
        <w:t>Úplnou profesní kvalifikaci Železničář (kód: 37-99-H/08) lze prokázat předložením osvědčení o získání některé z uvedených skupin profesních kvalifikací:</w:t>
      </w:r>
    </w:p>
    <w:p>
      <w:pPr>
        <w:pStyle w:val="P13"/>
        <w:framePr w:w="398" w:h="268" w:hRule="exact" w:wrap="none" w:vAnchor="page" w:hAnchor="margin" w:x="28" w:y="9405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9405"/>
        <w:rPr>
          <w:rStyle w:val="C15"/>
          <w:rtl w:val="0"/>
        </w:rPr>
      </w:pPr>
      <w:r>
        <w:rPr>
          <w:rStyle w:val="C15"/>
          <w:rtl w:val="0"/>
        </w:rPr>
        <w:t>Platnost od 7.4.2021 do neomezeně</w:t>
      </w:r>
    </w:p>
    <w:p>
      <w:pPr>
        <w:pStyle w:val="P12"/>
        <w:framePr w:w="10256" w:h="248" w:hRule="exact" w:wrap="none" w:vAnchor="page" w:hAnchor="margin" w:x="482" w:y="9673"/>
        <w:rPr>
          <w:rStyle w:val="C13"/>
          <w:rtl w:val="0"/>
        </w:rPr>
      </w:pPr>
      <w:r>
        <w:rPr>
          <w:rStyle w:val="C13"/>
          <w:rtl w:val="0"/>
        </w:rPr>
        <w:t>Dozorce/dozorkyně výhybek (kód: 37-006-H)</w:t>
      </w:r>
    </w:p>
    <w:p>
      <w:pPr>
        <w:pStyle w:val="P12"/>
        <w:framePr w:w="10256" w:h="248" w:hRule="exact" w:wrap="none" w:vAnchor="page" w:hAnchor="margin" w:x="482" w:y="9921"/>
        <w:rPr>
          <w:rStyle w:val="C13"/>
          <w:rtl w:val="0"/>
        </w:rPr>
      </w:pPr>
      <w:r>
        <w:rPr>
          <w:rStyle w:val="C13"/>
          <w:rtl w:val="0"/>
        </w:rPr>
        <w:t>Signalista/signalistka (kód: 37-008-H)</w:t>
      </w:r>
    </w:p>
    <w:p>
      <w:pPr>
        <w:pStyle w:val="P12"/>
        <w:framePr w:w="10256" w:h="248" w:hRule="exact" w:wrap="none" w:vAnchor="page" w:hAnchor="margin" w:x="482" w:y="10169"/>
        <w:rPr>
          <w:rStyle w:val="C13"/>
          <w:rtl w:val="0"/>
        </w:rPr>
      </w:pPr>
      <w:r>
        <w:rPr>
          <w:rStyle w:val="C13"/>
          <w:rtl w:val="0"/>
        </w:rPr>
        <w:t>Tranzitér/tranzitérka (kód: 37-014-H)</w:t>
      </w:r>
    </w:p>
    <w:p>
      <w:pPr>
        <w:pStyle w:val="P12"/>
        <w:framePr w:w="10256" w:h="248" w:hRule="exact" w:wrap="none" w:vAnchor="page" w:hAnchor="margin" w:x="482" w:y="10417"/>
        <w:rPr>
          <w:rStyle w:val="C13"/>
          <w:rtl w:val="0"/>
        </w:rPr>
      </w:pPr>
      <w:r>
        <w:rPr>
          <w:rStyle w:val="C13"/>
          <w:rtl w:val="0"/>
        </w:rPr>
        <w:t>Vedoucí posunu (kód: 37-012-H)</w:t>
      </w:r>
    </w:p>
    <w:p>
      <w:pPr>
        <w:pStyle w:val="P12"/>
        <w:framePr w:w="10256" w:h="248" w:hRule="exact" w:wrap="none" w:vAnchor="page" w:hAnchor="margin" w:x="482" w:y="10664"/>
        <w:rPr>
          <w:rStyle w:val="C13"/>
          <w:rtl w:val="0"/>
        </w:rPr>
      </w:pPr>
      <w:r>
        <w:rPr>
          <w:rStyle w:val="C13"/>
          <w:rtl w:val="0"/>
        </w:rPr>
        <w:t>Vlakvedoucí osobní přepravy (kód: 37-015-H)</w:t>
      </w:r>
    </w:p>
    <w:p>
      <w:pPr>
        <w:pStyle w:val="P13"/>
        <w:framePr w:w="398" w:h="268" w:hRule="exact" w:wrap="none" w:vAnchor="page" w:hAnchor="margin" w:x="28" w:y="11026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11026"/>
        <w:rPr>
          <w:rStyle w:val="C15"/>
          <w:rtl w:val="0"/>
        </w:rPr>
      </w:pPr>
      <w:r>
        <w:rPr>
          <w:rStyle w:val="C15"/>
          <w:rtl w:val="0"/>
        </w:rPr>
        <w:t>Platnost od 7.4.2021 do neomezeně</w:t>
      </w:r>
    </w:p>
    <w:p>
      <w:pPr>
        <w:pStyle w:val="P12"/>
        <w:framePr w:w="10256" w:h="248" w:hRule="exact" w:wrap="none" w:vAnchor="page" w:hAnchor="margin" w:x="482" w:y="11294"/>
        <w:rPr>
          <w:rStyle w:val="C13"/>
          <w:rtl w:val="0"/>
        </w:rPr>
      </w:pPr>
      <w:r>
        <w:rPr>
          <w:rStyle w:val="C13"/>
          <w:rtl w:val="0"/>
        </w:rPr>
        <w:t>Operátor/operátorka železniční dopravy (kód: 37-009-H)</w:t>
      </w:r>
    </w:p>
    <w:p>
      <w:pPr>
        <w:pStyle w:val="P12"/>
        <w:framePr w:w="10256" w:h="248" w:hRule="exact" w:wrap="none" w:vAnchor="page" w:hAnchor="margin" w:x="482" w:y="11542"/>
        <w:rPr>
          <w:rStyle w:val="C13"/>
          <w:rtl w:val="0"/>
        </w:rPr>
      </w:pPr>
      <w:r>
        <w:rPr>
          <w:rStyle w:val="C13"/>
          <w:rtl w:val="0"/>
        </w:rPr>
        <w:t>Posunovač/posunovačka (kód: 37-013-H)</w:t>
      </w:r>
    </w:p>
    <w:p>
      <w:pPr>
        <w:pStyle w:val="P12"/>
        <w:framePr w:w="10256" w:h="248" w:hRule="exact" w:wrap="none" w:vAnchor="page" w:hAnchor="margin" w:x="482" w:y="11789"/>
        <w:rPr>
          <w:rStyle w:val="C13"/>
          <w:rtl w:val="0"/>
        </w:rPr>
      </w:pPr>
      <w:r>
        <w:rPr>
          <w:rStyle w:val="C13"/>
          <w:rtl w:val="0"/>
        </w:rPr>
        <w:t>Průvodčí osobní přepravy (kód: 37-016-H)</w:t>
      </w:r>
    </w:p>
    <w:p>
      <w:pPr>
        <w:pStyle w:val="P12"/>
        <w:framePr w:w="10256" w:h="248" w:hRule="exact" w:wrap="none" w:vAnchor="page" w:hAnchor="margin" w:x="482" w:y="12037"/>
        <w:rPr>
          <w:rStyle w:val="C13"/>
          <w:rtl w:val="0"/>
        </w:rPr>
      </w:pPr>
      <w:r>
        <w:rPr>
          <w:rStyle w:val="C13"/>
          <w:rtl w:val="0"/>
        </w:rPr>
        <w:t>Signalista/signalistka (kód: 37-008-H)</w:t>
      </w:r>
    </w:p>
    <w:p>
      <w:pPr>
        <w:pStyle w:val="P12"/>
        <w:framePr w:w="10256" w:h="248" w:hRule="exact" w:wrap="none" w:vAnchor="page" w:hAnchor="margin" w:x="482" w:y="12285"/>
        <w:rPr>
          <w:rStyle w:val="C13"/>
          <w:rtl w:val="0"/>
        </w:rPr>
      </w:pPr>
      <w:r>
        <w:rPr>
          <w:rStyle w:val="C13"/>
          <w:rtl w:val="0"/>
        </w:rPr>
        <w:t>Tranzitér/tranzitérka (kód: 37-014-H)</w:t>
      </w:r>
    </w:p>
    <w:p>
      <w:pPr>
        <w:pStyle w:val="P6"/>
        <w:framePr w:w="10710" w:h="113" w:hRule="exact" w:wrap="none" w:vAnchor="page" w:hAnchor="margin" w:x="28" w:y="12533"/>
        <w:rPr>
          <w:rStyle w:val="C7"/>
          <w:rtl w:val="0"/>
        </w:rPr>
      </w:pPr>
    </w:p>
    <w:p>
      <w:pPr>
        <w:pStyle w:val="P11"/>
        <w:framePr w:w="10710" w:h="340" w:hRule="exact" w:wrap="none" w:vAnchor="page" w:hAnchor="margin" w:x="28" w:y="12760"/>
        <w:rPr>
          <w:rStyle w:val="C12"/>
          <w:rtl w:val="0"/>
        </w:rPr>
      </w:pPr>
      <w:r>
        <w:rPr>
          <w:rStyle w:val="C12"/>
          <w:rtl w:val="0"/>
        </w:rPr>
        <w:t>Týká se povolání</w:t>
      </w:r>
    </w:p>
    <w:p>
      <w:pPr>
        <w:pStyle w:val="P16"/>
        <w:framePr w:w="5386" w:h="361" w:hRule="exact" w:wrap="none" w:vAnchor="page" w:hAnchor="margin" w:x="0" w:y="13100"/>
        <w:rPr>
          <w:rStyle w:val="C3"/>
          <w:rtl w:val="0"/>
        </w:rPr>
      </w:pPr>
    </w:p>
    <w:p>
      <w:pPr>
        <w:pStyle w:val="P17"/>
        <w:framePr w:w="5274" w:h="249" w:hRule="exact" w:wrap="none" w:vAnchor="page" w:hAnchor="margin" w:x="56" w:y="13156"/>
        <w:rPr>
          <w:rStyle w:val="C17"/>
          <w:rtl w:val="0"/>
        </w:rPr>
      </w:pPr>
      <w:r>
        <w:rPr>
          <w:rStyle w:val="C17"/>
          <w:rtl w:val="0"/>
        </w:rPr>
        <w:t>Povolání / Typová pozice</w:t>
      </w:r>
    </w:p>
    <w:p>
      <w:pPr>
        <w:pStyle w:val="P16"/>
        <w:framePr w:w="5380" w:h="361" w:hRule="exact" w:wrap="none" w:vAnchor="page" w:hAnchor="margin" w:x="5386" w:y="13100"/>
        <w:rPr>
          <w:rStyle w:val="C3"/>
          <w:rtl w:val="0"/>
        </w:rPr>
      </w:pPr>
    </w:p>
    <w:p>
      <w:pPr>
        <w:pStyle w:val="P17"/>
        <w:framePr w:w="5268" w:h="249" w:hRule="exact" w:wrap="none" w:vAnchor="page" w:hAnchor="margin" w:x="5442" w:y="13156"/>
        <w:rPr>
          <w:rStyle w:val="C17"/>
          <w:rtl w:val="0"/>
        </w:rPr>
      </w:pPr>
      <w:r>
        <w:rPr>
          <w:rStyle w:val="C17"/>
          <w:rtl w:val="0"/>
        </w:rPr>
        <w:t>Nadřízené povolání</w:t>
      </w:r>
    </w:p>
    <w:p>
      <w:pPr>
        <w:pStyle w:val="P18"/>
        <w:framePr w:w="5293" w:h="376" w:hRule="exact" w:wrap="none" w:vAnchor="page" w:hAnchor="margin" w:x="45" w:y="13461"/>
        <w:rPr>
          <w:rStyle w:val="C3"/>
          <w:rtl w:val="0"/>
        </w:rPr>
      </w:pPr>
    </w:p>
    <w:p>
      <w:pPr>
        <w:pStyle w:val="P19"/>
        <w:framePr w:w="5241" w:h="249" w:hRule="exact" w:wrap="none" w:vAnchor="page" w:hAnchor="margin" w:x="71" w:y="13517"/>
        <w:rPr>
          <w:rStyle w:val="C18"/>
          <w:rtl w:val="0"/>
        </w:rPr>
      </w:pPr>
      <w:r>
        <w:rPr>
          <w:rStyle w:val="C18"/>
          <w:rtl w:val="0"/>
        </w:rPr>
        <w:t>Obsluha železniční osobní dopravy</w:t>
      </w:r>
    </w:p>
    <w:p>
      <w:pPr>
        <w:pStyle w:val="P20"/>
        <w:framePr w:w="5338" w:h="376" w:hRule="exact" w:wrap="none" w:vAnchor="page" w:hAnchor="margin" w:x="5383" w:y="13461"/>
        <w:rPr>
          <w:rStyle w:val="C3"/>
          <w:rtl w:val="0"/>
        </w:rPr>
      </w:pPr>
    </w:p>
    <w:p>
      <w:pPr>
        <w:pStyle w:val="P21"/>
        <w:framePr w:w="5256" w:h="249" w:hRule="exact" w:wrap="none" w:vAnchor="page" w:hAnchor="margin" w:x="5439" w:y="13517"/>
        <w:rPr>
          <w:rStyle w:val="C19"/>
          <w:rtl w:val="0"/>
        </w:rPr>
      </w:pP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Vlakvedoucí osobní přepravy, 30.9.2026 8:34:34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2 z 2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bidi w:val="0"/>
      <w:jc w:val="left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bidi w:val="0"/>
      <w:jc w:val="right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bidi w:val="0"/>
      <w:jc w:val="left"/>
    </w:pPr>
  </w:style>
  <w:style w:type="paragraph" w:styleId="P13">
    <w:name w:val="ParagraphStyle12"/>
    <w:hidden/>
    <w:pPr>
      <w:bidi w:val="0"/>
      <w:jc w:val="center"/>
    </w:pPr>
  </w:style>
  <w:style w:type="paragraph" w:styleId="P14">
    <w:name w:val="ParagraphStyle13"/>
    <w:hidden/>
    <w:pPr>
      <w:shd w:val="clear" w:fill="auto"/>
      <w:bidi w:val="0"/>
      <w:jc w:val="left"/>
    </w:pPr>
  </w:style>
  <w:style w:type="paragraph" w:styleId="P15">
    <w:name w:val="ParagraphStyle14"/>
    <w:hidden/>
    <w:pPr>
      <w:bidi w:val="0"/>
      <w:jc w:val="left"/>
    </w:pPr>
  </w:style>
  <w:style w:type="paragraph" w:styleId="P16">
    <w:name w:val="ParagraphStyle15"/>
    <w:hidden/>
    <w:pPr>
      <w:shd w:val="clear" w:fill="D9D9D9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9">
    <w:name w:val="ParagraphStyle18"/>
    <w:hidden/>
    <w:pPr>
      <w:bidi w:val="0"/>
      <w:jc w:val="left"/>
    </w:pPr>
  </w:style>
  <w:style w:type="paragraph" w:styleId="P20">
    <w:name w:val="ParagraphStyle19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21">
    <w:name w:val="ParagraphStyle20"/>
    <w:hidden/>
    <w:pPr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2">
    <w:name w:val="CharacterStyle8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Calibri" w:cs="Calibri" w:hAnsi="Calibri" w:eastAsia="Calibri"/>
      <w:b w:val="0"/>
      <w:i w:val="0"/>
      <w:strike w:val="0"/>
      <w:noProof w:val="1"/>
      <w:color w:val="40404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1"/>
      <w:strike w:val="0"/>
      <w:noProof w:val="1"/>
      <w:color w:val="40404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1"/>
      <w:strike w:val="0"/>
      <w:noProof w:val="1"/>
      <w:color w:val="404040"/>
      <w:sz w:val="19"/>
      <w:szCs w:val="19"/>
      <w:u w:val="none"/>
    </w:rPr>
  </w:style>
  <w:style w:type="character" w:styleId="C17">
    <w:name w:val="CharacterStyle13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8">
    <w:name w:val="CharacterStyle14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9">
    <w:name w:val="CharacterStyle15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