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B7A6" Type="http://schemas.openxmlformats.org/officeDocument/2006/relationships/officeDocument" Target="/word/document.xml" /><Relationship Id="coreRAEB7A6" Type="http://schemas.openxmlformats.org/package/2006/relationships/metadata/core-properties" Target="/docProps/core.xml" /><Relationship Id="customRAEB7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Průvodčí osobní přepravy (kód: 37-016-H)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návěstidel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železničních výhybek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nakládky a překládky zavazadel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Koordinace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Výprava vlaku z železniční stanice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Zkouška brzdy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informací o vlakových spojích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Průvodčí osobní přepravy, 31.7.2026 17:47:01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Vysvětlit územní působnost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Realizovat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31.7.2026 17:47:01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poruchových stavů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součástí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Obsluhovat železniční výhybky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obsluhu železniční výhybky během poruchových stavů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Řízení nakládky a překládky zavazadel</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Prokázat znalost přepravních předpisů pro přepravu zavazadel</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Předvést postup při odbavení zavazadel u vlaku</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32"/>
        <w:framePr w:w="10710" w:h="248" w:hRule="exact" w:wrap="none" w:vAnchor="page" w:hAnchor="margin" w:x="28" w:y="8446"/>
        <w:rPr>
          <w:rStyle w:val="C23"/>
          <w:rtl w:val="0"/>
        </w:rPr>
      </w:pPr>
      <w:r>
        <w:rPr>
          <w:rStyle w:val="C23"/>
          <w:rtl w:val="0"/>
        </w:rPr>
        <w:t>Je třeba splnit obě kritéria.</w:t>
      </w:r>
    </w:p>
    <w:p>
      <w:pPr>
        <w:pStyle w:val="P23"/>
        <w:framePr w:w="10710" w:h="340" w:hRule="exact" w:wrap="none" w:vAnchor="page" w:hAnchor="margin" w:x="28" w:y="8882"/>
        <w:rPr>
          <w:rStyle w:val="C18"/>
          <w:rtl w:val="0"/>
        </w:rPr>
      </w:pPr>
      <w:r>
        <w:rPr>
          <w:rStyle w:val="C18"/>
          <w:rtl w:val="0"/>
        </w:rPr>
        <w:t>Koordinace posunu</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376" w:hRule="exact" w:wrap="none" w:vAnchor="page" w:hAnchor="margin" w:x="45" w:y="9697"/>
        <w:rPr>
          <w:rStyle w:val="C3"/>
          <w:rtl w:val="0"/>
        </w:rPr>
      </w:pPr>
    </w:p>
    <w:p>
      <w:pPr>
        <w:pStyle w:val="P13"/>
        <w:framePr w:w="6658" w:h="249" w:hRule="exact" w:wrap="none" w:vAnchor="page" w:hAnchor="margin" w:x="71" w:y="9753"/>
        <w:rPr>
          <w:rStyle w:val="C11"/>
          <w:rtl w:val="0"/>
        </w:rPr>
      </w:pPr>
      <w:r>
        <w:rPr>
          <w:rStyle w:val="C11"/>
          <w:rtl w:val="0"/>
        </w:rPr>
        <w:t>a) Objasnit organizaci a řízení práce vlakové čety</w:t>
      </w:r>
    </w:p>
    <w:p>
      <w:pPr>
        <w:pStyle w:val="P28"/>
        <w:framePr w:w="3921" w:h="376" w:hRule="exact" w:wrap="none" w:vAnchor="page" w:hAnchor="margin" w:x="6800" w:y="9697"/>
        <w:rPr>
          <w:rStyle w:val="C3"/>
          <w:rtl w:val="0"/>
        </w:rPr>
      </w:pPr>
    </w:p>
    <w:p>
      <w:pPr>
        <w:pStyle w:val="P29"/>
        <w:framePr w:w="3839" w:h="249" w:hRule="exact" w:wrap="none" w:vAnchor="page" w:hAnchor="margin" w:x="6856" w:y="9753"/>
        <w:rPr>
          <w:rStyle w:val="C21"/>
          <w:rtl w:val="0"/>
        </w:rPr>
      </w:pPr>
      <w:r>
        <w:rPr>
          <w:rStyle w:val="C21"/>
          <w:rtl w:val="0"/>
        </w:rPr>
        <w:t>Ústní ověření</w:t>
      </w:r>
    </w:p>
    <w:p>
      <w:pPr>
        <w:pStyle w:val="P16"/>
        <w:framePr w:w="6710" w:h="376" w:hRule="exact" w:wrap="none" w:vAnchor="page" w:hAnchor="margin" w:x="45" w:y="10073"/>
        <w:rPr>
          <w:rStyle w:val="C3"/>
          <w:rtl w:val="0"/>
        </w:rPr>
      </w:pPr>
    </w:p>
    <w:p>
      <w:pPr>
        <w:pStyle w:val="P17"/>
        <w:framePr w:w="6658" w:h="249" w:hRule="exact" w:wrap="none" w:vAnchor="page" w:hAnchor="margin" w:x="71" w:y="10129"/>
        <w:rPr>
          <w:rStyle w:val="C13"/>
          <w:rtl w:val="0"/>
        </w:rPr>
      </w:pPr>
      <w:r>
        <w:rPr>
          <w:rStyle w:val="C13"/>
          <w:rtl w:val="0"/>
        </w:rPr>
        <w:t>b) Popsat proces koordinace posunu hnacími vozidly</w:t>
      </w:r>
    </w:p>
    <w:p>
      <w:pPr>
        <w:pStyle w:val="P30"/>
        <w:framePr w:w="3921" w:h="376" w:hRule="exact" w:wrap="none" w:vAnchor="page" w:hAnchor="margin" w:x="6800" w:y="10073"/>
        <w:rPr>
          <w:rStyle w:val="C3"/>
          <w:rtl w:val="0"/>
        </w:rPr>
      </w:pPr>
    </w:p>
    <w:p>
      <w:pPr>
        <w:pStyle w:val="P31"/>
        <w:framePr w:w="3839" w:h="249" w:hRule="exact" w:wrap="none" w:vAnchor="page" w:hAnchor="margin" w:x="6856" w:y="10129"/>
        <w:rPr>
          <w:rStyle w:val="C22"/>
          <w:rtl w:val="0"/>
        </w:rPr>
      </w:pPr>
      <w:r>
        <w:rPr>
          <w:rStyle w:val="C22"/>
          <w:rtl w:val="0"/>
        </w:rPr>
        <w:t>Ústní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c) Popsat proces koordinace posunu mezi dopravnami</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d) Popsat postup při mimořádné události (nehodové události, ujetí vozidel)</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všechna kritéria.</w:t>
      </w:r>
    </w:p>
    <w:p>
      <w:pPr>
        <w:pStyle w:val="P23"/>
        <w:framePr w:w="10710" w:h="340" w:hRule="exact" w:wrap="none" w:vAnchor="page" w:hAnchor="margin" w:x="28" w:y="11751"/>
        <w:rPr>
          <w:rStyle w:val="C18"/>
          <w:rtl w:val="0"/>
        </w:rPr>
      </w:pPr>
      <w:r>
        <w:rPr>
          <w:rStyle w:val="C18"/>
          <w:rtl w:val="0"/>
        </w:rPr>
        <w:t>Výprava vlaku z železniční stanice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dopravních předpisů při výpravě vlaku</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Dát návěsti před odjezdem vlaku</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3"/>
        <w:framePr w:w="10710" w:h="340" w:hRule="exact" w:wrap="none" w:vAnchor="page" w:hAnchor="margin" w:x="28" w:y="13868"/>
        <w:rPr>
          <w:rStyle w:val="C18"/>
          <w:rtl w:val="0"/>
        </w:rPr>
      </w:pPr>
      <w:r>
        <w:rPr>
          <w:rStyle w:val="C18"/>
          <w:rtl w:val="0"/>
        </w:rPr>
        <w:t>Zkouška brzdy</w:t>
      </w:r>
    </w:p>
    <w:p>
      <w:pPr>
        <w:pStyle w:val="P24"/>
        <w:framePr w:w="6713" w:h="376" w:hRule="exact" w:wrap="none" w:vAnchor="page" w:hAnchor="margin" w:x="45" w:y="14307"/>
        <w:rPr>
          <w:rStyle w:val="C3"/>
          <w:rtl w:val="0"/>
        </w:rPr>
      </w:pPr>
    </w:p>
    <w:p>
      <w:pPr>
        <w:pStyle w:val="P25"/>
        <w:framePr w:w="6661" w:h="249" w:hRule="exact" w:wrap="none" w:vAnchor="page" w:hAnchor="margin" w:x="71" w:y="14378"/>
        <w:rPr>
          <w:rStyle w:val="C19"/>
          <w:rtl w:val="0"/>
        </w:rPr>
      </w:pPr>
      <w:r>
        <w:rPr>
          <w:rStyle w:val="C19"/>
          <w:rtl w:val="0"/>
        </w:rPr>
        <w:t>Kritéria hodnocení</w:t>
      </w:r>
    </w:p>
    <w:p>
      <w:pPr>
        <w:pStyle w:val="P26"/>
        <w:framePr w:w="3918" w:h="376" w:hRule="exact" w:wrap="none" w:vAnchor="page" w:hAnchor="margin" w:x="6803" w:y="14307"/>
        <w:rPr>
          <w:rStyle w:val="C3"/>
          <w:rtl w:val="0"/>
        </w:rPr>
      </w:pPr>
    </w:p>
    <w:p>
      <w:pPr>
        <w:pStyle w:val="P27"/>
        <w:framePr w:w="3836" w:h="249" w:hRule="exact" w:wrap="none" w:vAnchor="page" w:hAnchor="margin" w:x="6859" w:y="14378"/>
        <w:rPr>
          <w:rStyle w:val="C20"/>
          <w:rtl w:val="0"/>
        </w:rPr>
      </w:pPr>
      <w:r>
        <w:rPr>
          <w:rStyle w:val="C20"/>
          <w:rtl w:val="0"/>
        </w:rPr>
        <w:t>Způsoby ověření</w:t>
      </w:r>
    </w:p>
    <w:p>
      <w:pPr>
        <w:pStyle w:val="P12"/>
        <w:framePr w:w="6710" w:h="376" w:hRule="exact" w:wrap="none" w:vAnchor="page" w:hAnchor="margin" w:x="45" w:y="14683"/>
        <w:rPr>
          <w:rStyle w:val="C3"/>
          <w:rtl w:val="0"/>
        </w:rPr>
      </w:pPr>
    </w:p>
    <w:p>
      <w:pPr>
        <w:pStyle w:val="P13"/>
        <w:framePr w:w="6658" w:h="249" w:hRule="exact" w:wrap="none" w:vAnchor="page" w:hAnchor="margin" w:x="71" w:y="14739"/>
        <w:rPr>
          <w:rStyle w:val="C11"/>
          <w:rtl w:val="0"/>
        </w:rPr>
      </w:pPr>
      <w:r>
        <w:rPr>
          <w:rStyle w:val="C11"/>
          <w:rtl w:val="0"/>
        </w:rPr>
        <w:t>a) Prokázat znalost typů zkoušek brzdy</w:t>
      </w:r>
    </w:p>
    <w:p>
      <w:pPr>
        <w:pStyle w:val="P28"/>
        <w:framePr w:w="3921" w:h="376" w:hRule="exact" w:wrap="none" w:vAnchor="page" w:hAnchor="margin" w:x="6800" w:y="14683"/>
        <w:rPr>
          <w:rStyle w:val="C3"/>
          <w:rtl w:val="0"/>
        </w:rPr>
      </w:pPr>
    </w:p>
    <w:p>
      <w:pPr>
        <w:pStyle w:val="P29"/>
        <w:framePr w:w="3839" w:h="249" w:hRule="exact" w:wrap="none" w:vAnchor="page" w:hAnchor="margin" w:x="6856" w:y="14739"/>
        <w:rPr>
          <w:rStyle w:val="C21"/>
          <w:rtl w:val="0"/>
        </w:rPr>
      </w:pPr>
      <w:r>
        <w:rPr>
          <w:rStyle w:val="C21"/>
          <w:rtl w:val="0"/>
        </w:rPr>
        <w:t>Ústní ověření</w:t>
      </w:r>
    </w:p>
    <w:p>
      <w:pPr>
        <w:pStyle w:val="P16"/>
        <w:framePr w:w="6710" w:h="376" w:hRule="exact" w:wrap="none" w:vAnchor="page" w:hAnchor="margin" w:x="45" w:y="15060"/>
        <w:rPr>
          <w:rStyle w:val="C3"/>
          <w:rtl w:val="0"/>
        </w:rPr>
      </w:pPr>
    </w:p>
    <w:p>
      <w:pPr>
        <w:pStyle w:val="P17"/>
        <w:framePr w:w="6658" w:h="249" w:hRule="exact" w:wrap="none" w:vAnchor="page" w:hAnchor="margin" w:x="71" w:y="15116"/>
        <w:rPr>
          <w:rStyle w:val="C13"/>
          <w:rtl w:val="0"/>
        </w:rPr>
      </w:pPr>
      <w:r>
        <w:rPr>
          <w:rStyle w:val="C13"/>
          <w:rtl w:val="0"/>
        </w:rPr>
        <w:t>b) Předvést postupy při zkoušce brzdy a návěsti pro zkoušku brzdy</w:t>
      </w:r>
    </w:p>
    <w:p>
      <w:pPr>
        <w:pStyle w:val="P30"/>
        <w:framePr w:w="3921" w:h="376" w:hRule="exact" w:wrap="none" w:vAnchor="page" w:hAnchor="margin" w:x="6800" w:y="15060"/>
        <w:rPr>
          <w:rStyle w:val="C3"/>
          <w:rtl w:val="0"/>
        </w:rPr>
      </w:pPr>
    </w:p>
    <w:p>
      <w:pPr>
        <w:pStyle w:val="P31"/>
        <w:framePr w:w="3839" w:h="249" w:hRule="exact" w:wrap="none" w:vAnchor="page" w:hAnchor="margin" w:x="6856" w:y="15116"/>
        <w:rPr>
          <w:rStyle w:val="C22"/>
          <w:rtl w:val="0"/>
        </w:rPr>
      </w:pPr>
      <w:r>
        <w:rPr>
          <w:rStyle w:val="C22"/>
          <w:rtl w:val="0"/>
        </w:rPr>
        <w:t>Praktické předvedení a ústní ověření</w:t>
      </w:r>
    </w:p>
    <w:p>
      <w:pPr>
        <w:pStyle w:val="P32"/>
        <w:framePr w:w="10710" w:h="248" w:hRule="exact" w:wrap="none" w:vAnchor="page" w:hAnchor="margin" w:x="28" w:y="15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31.7.2026 17:47:01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Průvodčí osobní přepravy, 31.7.2026 17:47:01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http://katalog.nsp.cz/karta_tp.aspx?id_jp=2852&amp;kod_sm1=14).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Průvodčí osobní přepravy, 31.7.2026 17:47:01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xml:space="preserve">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dispozici. Pro ověření schopností vyplňovat příslušné dokumenty je třeba mít tyto dokumenty k dispozici v tištěné nebo elektronické podobě.</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31.7.2026 17:47:01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31.7.2026 17:47:01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Průvodčí osobní přepravy, 31.7.2026 17:47:01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8873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2B96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