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57E6B" Type="http://schemas.openxmlformats.org/officeDocument/2006/relationships/officeDocument" Target="/word/document.xml" /><Relationship Id="coreR56857E6B" Type="http://schemas.openxmlformats.org/package/2006/relationships/metadata/core-properties" Target="/docProps/core.xml" /><Relationship Id="customR56857E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- laborant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separačních procesů v chemické laboratoři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 v chemických laboratořích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laboratoři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30.9.2026 5:52:02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https://www.nsp.cz/jednotka-prace/chemik-laborant#zdravotni-zpusobilost).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seznámen s výrobní a analytickou dokumentací, kterou má dostupnou k využití po celou dobu výkonu zkoušky.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zahrnujících odběr a úpravu vzorku chemických látek pro měření včetně potřebných výpočtů, chemickou analýzu vzorku s využitím standardních metod a technik, zpracování výsledků měření, vypracování protokolu a vyhodnocení výsledů analýzy. Při ověřování odborných kompetencí, zejména formou praktického předvedení, je třeba přihlížet k bezpečnému provádění všech pracovních úkonů, k dodržování zásad bezpečné práce s chemickými látkami a chemickými přípravky v podmínkách chemických laboratoří a k dodržování ekologických principů.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kvalitativní a kvantitativní provozní a laboratorní kontrolní činnosti, kritéria a) a b), autorizovaná osoba připraví zadání, na základě kterého uchazeč splní daná kritéria.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vhodný pracovní oděv a pracovní obuv podle požadavků BOZP pracoviště, na kterém se zkouška probíhá.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30.9.2026 5:52:02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MSŠCH,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VÚOS, Rybitví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30.9.2026 5:52:02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