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BC362C" Type="http://schemas.openxmlformats.org/officeDocument/2006/relationships/officeDocument" Target="/word/document.xml" /><Relationship Id="coreR64BC362C" Type="http://schemas.openxmlformats.org/package/2006/relationships/metadata/core-properties" Target="/docProps/core.xml" /><Relationship Id="customR64BC36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- laborant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dělicích procesů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26.03.2010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5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http://katalog.nsp.cz/zdravotniPodminky.aspx?id_jp=30983&amp;kod_sm1=34 ). 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35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zahrnujících odběr a úpravu vzorku pro měření včetně potřebných výpočtů, chemickou analýzu vzorku s využitím standardních metod a technik, zpracování výsledků měření, vypracování protokolu a vyhodnocení výsledů analýzy. Při ověřování způsobilostí, zejména formou praktického předvedení, je třeba přihlížet k bezpečnému provádění všech pracovních úkonů a dodržování zásad bezpečné práce s chemickými látkami a chemickými přípravky v podmínkách různých typů chemických laboratoří.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chemie, v níž byly zastoupeny tyto subjekty: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Tanex, Plasty a.s.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Barum Continental, spol. s r. 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