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976C6" Type="http://schemas.openxmlformats.org/officeDocument/2006/relationships/officeDocument" Target="/word/document.xml" /><Relationship Id="coreR394976C6" Type="http://schemas.openxmlformats.org/package/2006/relationships/metadata/core-properties" Target="/docProps/core.xml" /><Relationship Id="customR394976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zadané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minerálních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minerálního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Rozpoznat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15 zadaných jednoděložných a dvouděložných plevelů</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a seřízení určených mechanizačních prostředků pro sklizeň a posklizňovou úpravu (sklízecí mlátičky nebo sklízecí řezačky)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sklizeň, posklizňovou úpravu a konzervaci dvou zadaných zemědělských plodin</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zadávat uchazečům komplexní úkoly, které umožní ověření několika kritérií v rámci jedné i více kompetencí.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d) budou požadované práce provedeny u jednoho z uvedených mechanizačních prostředků: traktor, samojízdný stroj, mechanizační prostředek pro zpracování půdy, rozmetadlo, secí nebo sázecí stroj.</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oboru vzdělání a střední vzdělání s maturitní zkouškou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zemědělském oboru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(traktorista) a střední vzdělání s maturitní zkouškou a alespoň 5 let praxe na pozici traktoristy,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 vzorky minerálních hnojiv</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Pěstitel základních plodin, 28.9.2026 13:52:22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733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CD88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14D1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