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E1E53" Type="http://schemas.openxmlformats.org/officeDocument/2006/relationships/officeDocument" Target="/word/document.xml" /><Relationship Id="coreR25E1E53" Type="http://schemas.openxmlformats.org/package/2006/relationships/metadata/core-properties" Target="/docProps/core.xml" /><Relationship Id="customR25E1E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ovcí a koz (kód: 41-046-H)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ovcí a koz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ovcí a koz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Systémy chovu ovcí a koz, údržba stájí a ohrad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se zvířaty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ovcí a koz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Pastva ovcí a koz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zdravotní stav ovcí a koz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ovcí a koz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jehňata a kůzlata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Získávání mléka na farmě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kozího a ovčího mléka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domácí porážce ovcí a koz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ovcí a koz, 30.9.2026 2:48:38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https://nsp.cz/jednotka-prace/chovatel-a-osetrovatel-ov#zdravotni-zpusobilosty).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při vstupu do chovu splňovat požadavky veterinárních předpisů (zákon č. 166/1999 Sb. a vyhláška č. 342/2012 Sb.) a obecně platných pravidel zoohygieny. Pro ověření znalostí a dovedností uchazeče budou kompetence ověřovány nejen ve zkušební místnosti, ale také přímo v zemědělském provozu zaměřeném na chov ovcí nebo koz.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nutné posuzovat nejen dosažený výsledek, ale i samostatnost při rozhodování o nejvhodnějším postupu řešení zadaného úkolu podle daných podmínek pracoviště. Při práci je třeba hodnotit přístup ke zvířatům a respektování požadavků pohody zvířat (welfare). Je vhodné zadávat uchazečům komplexní úkoly, které umožní ověření několika kritérií v rámci jedné i více kompetencí.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Evidence a označování ovcí a koz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b) uchazeč zvolí vhodné pomůcky a metody označení a označení provede. V kritériu c) bude uchazeči předložen obrazový materiál pro rozpoznání 10 plemen ovcí a koz.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ovcí a koz, 30.9.2026 2:48:38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Milský statek,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ovcí a koz,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ovcí a koz, 30.9.2026 2:48:38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