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C3FC81" Type="http://schemas.openxmlformats.org/officeDocument/2006/relationships/officeDocument" Target="/word/document.xml" /><Relationship Id="coreR72C3FC81" Type="http://schemas.openxmlformats.org/package/2006/relationships/metadata/core-properties" Target="/docProps/core.xml" /><Relationship Id="customR72C3FC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třídění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Líhnutí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chovu běžců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20.10.2026 12:35:24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bude uchazeč popisovat části těla jednotlivých druhů drůbeže s využitím perokreseb jednotlivých druhů.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 tomto standardu, kromě poslední, se týkají hrabavé a vodní drůbeže. Poslední kompetence je věnována chovu běžců. 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 s chovem drůbeže. Při práci je třeba hodnotit přístup ke zvířatům a respektování pohody zvířat. Uchazečům jsou zadávány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20.10.2026 12:35:24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AGRONEA, a. s., Polička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zemědělských družstev Svitavy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Regionální agrární komora Pardubického kraje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20.10.2026 12:35:24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