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215C25" Type="http://schemas.openxmlformats.org/officeDocument/2006/relationships/officeDocument" Target="/word/document.xml" /><Relationship Id="coreRD215C25" Type="http://schemas.openxmlformats.org/package/2006/relationships/metadata/core-properties" Target="/docProps/core.xml" /><Relationship Id="customRD215C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 keramiky (kód: 28-003-H)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dekoračních materiálů a pomůcek pro dekorování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glazur, engob a dekoračních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malba štětcem a dalšími technikami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Zdobení keramických výrobků stříkáním, tiskem, sítotiskem, razítkováním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Výpal dekorovaných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provedených dekorací na keramických výrobcích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zařízení a linek pro dekorování keramických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17.06.2010 do: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 keramiky, 20.10.2026 7:36:35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http://katalog.nsp.cz/karta_tp.aspx?id_jp=83&amp;kod_sm1=35).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kriterií hodnocení pro jednotlivé kompetence je třeba získat celkový přehled o způsobilosti zkoušeného uchazeče vykonávat povolání v určitém úseku keramické výroby.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 keramiky, 20.10.2026 7:36:35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 keramiky, 20.10.2026 7:36:35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