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ACA766" Type="http://schemas.openxmlformats.org/officeDocument/2006/relationships/officeDocument" Target="/word/document.xml" /><Relationship Id="coreR38ACA766" Type="http://schemas.openxmlformats.org/package/2006/relationships/metadata/core-properties" Target="/docProps/core.xml" /><Relationship Id="customR38ACA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keramiky (kód: 28-003-H)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dekoračních materiálů a pomůcek pro dekorování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glazur, engob a dekoračních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malba štětcem a dalšími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Zdobení keramických výrobků stříkáním, tiskem, sítotiskem, razítkováním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Výpal dekorovaných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provedených dekorací na keramických výrobcích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a linek pro dekorování keramických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17.06.2010 do: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30.9.2026 7:38:30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http://katalog.nsp.cz/karta_tp.aspx?id_jp=83&amp;kod_sm1=35).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kompetence je třeba získat celkový přehled o způsobilosti zkoušeného uchazeče vykonávat povolání v určitém úseku keramické výroby.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jsou komplexnějšího charakteru, proto se může zkoušející zaměřit na určitý konkrétní úkol, který je pro ověřovanou kompetenci stěžejní a je v souladu s požadovaným zaměřením DK.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a zvládnutí konkrétní činnosti sleduje zkoušející dodržování hygienických a bezpečnostních zásad. Dále posuzuje hospodárné využití surovin a bezpečné provádění všech úkonů. Hodnotí se také kvalita zhotoveného výrobku. Předmětem hodnocení zkoušeného uchazeče je také estetická stránka výrobku, kreativita a manuální zručnost.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30.9.2026 7:38:30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sklářský a keramický průmysl, v níž byly zastoupeny: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výrobců bižuterie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 keramiky, 30.9.2026 7:38:30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