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09D15F" Type="http://schemas.openxmlformats.org/officeDocument/2006/relationships/officeDocument" Target="/word/document.xml" /><Relationship Id="coreRC09D15F" Type="http://schemas.openxmlformats.org/package/2006/relationships/metadata/core-properties" Target="/docProps/core.xml" /><Relationship Id="customRC09D1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 modelář / keramička 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modelů, modelových forem, rozmnožovacích zařízení a provozních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modelů a modelových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rozmnožovacích zařízení a provozních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zhotovených modelů a forem pro keramické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 modelář / keramička modelářka,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https://www.nsp.cz/jednotka-prace/keramik-modelar#zdravotni-zpusobilost).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jeho model a formu, uvede jejich parametry, ke kterým se budou vztahovat zadané úkoly podle zaměření konkrétní keramické výroby a místa konání zkoušky.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odborných kompetencích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posuzování funkčnosti a rozměrů zhotovených modelů a forem pro keramické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y, kritérium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modelů a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 rámci hospodárného využití času určeného na zkoušku, použít připravený výrobek /model a formu/.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použití hotového výrobku /modelu a formy/ se bude posuzovat kvalita a soulad s technickou a výrobní dokumentací, případně nedodržení jednotlivých parametrů.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je kladen důraz na dodržování hygienických a bezpečnostních zásad.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úkonů. Předmětem hodnocení je také estetická stránka výrobku a manuální zručnost uchazeče.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 modelář / keramička modelářka,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Silikátový svaz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 modelář / keramička modelářka,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