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7761B3" Type="http://schemas.openxmlformats.org/officeDocument/2006/relationships/officeDocument" Target="/word/document.xml" /><Relationship Id="coreR667761B3" Type="http://schemas.openxmlformats.org/package/2006/relationships/metadata/core-properties" Target="/docProps/core.xml" /><Relationship Id="customR667761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Keramik-modelář (kód: 28-002-H)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pro zhotovování forem keramických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technologických podmínek, nástrojů a pomůcek pro zhotovování modelů keramických výrobků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a posuzování funkčnosti a rozměrů zhotovených modelů a forem pro keramické výrobky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Zhotovování forem pro keramické výrobky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modelů a rozmnožovacích zařízení na odlévání forem pro keramické výrobky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Vytváření keramických výrobků litím do forem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Skladování, manipulace, vedení evidence modelů a forem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17.06.2010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Keramik-modelář, 20.10.2026 11:48:05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http://katalog.nsp.cz/karta_tp.aspx?id_jp=2175&amp;kod_sm1=35).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kriterií hodnocení pro jednotlivé kompetence je třeba získat celkový přehled o způsobilosti zkoušeného uchazeče vykonávat povolání v určitém úseku keramické výroby.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Keramik-modelář, 20.10.2026 11:48:05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Keramik-modelář, 20.10.2026 11:48:05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