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1B15C" Type="http://schemas.openxmlformats.org/officeDocument/2006/relationships/officeDocument" Target="/word/document.xml" /><Relationship Id="coreR7581B15C" Type="http://schemas.openxmlformats.org/package/2006/relationships/metadata/core-properties" Target="/docProps/core.xml" /><Relationship Id="customR7581B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https://www.nsp.cz/jednotka-prace/keramik-modelar#zdravotni-zpusobilost).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jeho model a formu, uvede jejich parametry, ke kterým se budou vztahovat zadané úkoly podle zaměření konkrétní keramické výroby a místa konání zkoušky.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odborných kompetencích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posuzování funkčnosti a rozměrů zhotovených modelů a forem pro keramické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y, kritérium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modelů a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 rámci hospodárného využití času určeného na zkoušku, použít připravený výrobek /model a formu/.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použití hotového výrobku /modelu a formy/ se bude posuzovat kvalita a soulad s technickou a výrobní dokumentací, případně nedodržení jednotlivých parametrů.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je kladen důraz na dodržování hygienických a bezpečnostních zásad.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úkonů. Předmětem hodnocení je také estetická stránka výrobku a manuální zručnost uchazeče.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30.9.2026 4:46:47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