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175E12" Type="http://schemas.openxmlformats.org/officeDocument/2006/relationships/officeDocument" Target="/word/document.xml" /><Relationship Id="coreR44175E12" Type="http://schemas.openxmlformats.org/package/2006/relationships/metadata/core-properties" Target="/docProps/core.xml" /><Relationship Id="customR44175E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sádrových forem (kód: 28-004-H)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výrobě sádrových forem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pro odlévání forem pro výrobu keramických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na sušení forem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Skladování, manipulace, vedení evidence forem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sádrových forem, 20.10.2026 6:40:31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https://www.nsp.cz/jednotka-prace/vyrobce-sadrovych-forem#zdravotni-zpusobilost).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a parametry sádrové formy, ke které se budou vztahovat zadané úkoly, podle zaměření konkrétní keramické výroby a místa konání zkoušky.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zařízení pro odlévání forem pro výrobu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probíhá ověřování kritérií v reálném provozu jako ústní ověřování nad dokumentací, na pracovních místech u strojů a linek, na modelové situaci, kterou připraví autorizovaná osoba.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v návaznosti na technické vybavení, kterým disponuje v místě konání zkoušky.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posuzování funkčnosti a rozměrů zhotovených forem pro keramické výrobky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se modelová situace týká předvedení kontroly rozměrů a přesnosti dosedacích ploch, lícování spár a funkčnosti hotových forem, které má zkoušející k dispozici; při ověřování kritérií hodnocení je možné, v rámci hospodárného využití času určeného na zkoušku, použít připravené sádrové formy.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manipulace, vedení evidence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při ověřování kritérií hodnocení je možné, v rámci hospodárného využití času určeného na zkoušku, použít připravené sádrové formy.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hotového výrobku se bude posuzovat kvalita provedení a soulad s technickou a výrobní dokumentací, případně nedodržení jednotlivých parametrů pro zadaný výrobek.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se klade důraz na dodržování hygienických a bezpečnostních zásad. Je posuzováno hospodárné využití surovin a bezpečné provádění všech úkonů. Předmětem hodnocení je také manuální zručnost zkoušeného a kvalita provedení.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sádrových forem, 20.10.2026 6:40:31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sádrových forem, 20.10.2026 6:40:31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