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FB25A7" Type="http://schemas.openxmlformats.org/officeDocument/2006/relationships/officeDocument" Target="/word/document.xml" /><Relationship Id="coreR74FB25A7" Type="http://schemas.openxmlformats.org/package/2006/relationships/metadata/core-properties" Target="/docProps/core.xml" /><Relationship Id="customR74FB25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výrobě sádrových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odlévání forem pro výrobu keramických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sušení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Skladování, manipulace, vedení evidence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30.9.2026 7:35:57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https://www.nsp.cz/jednotka-prace/vyrobce-sadrovych-forem#zdravotni-zpusobilost).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a parametry sádrové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pro odlévání forem pro výrobu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ověřování kritérií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v návaznosti na technické vybavení, kterým disponuje v místě konání zkoušky.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posuzování funkčnosti a rozměrů zhotovených forem pro keramické výrobky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se modelová situace týká předvedení kontroly rozměrů a přesnosti dosedacích ploch, lícování spár a funkčnosti hotových forem, které má zkoušející k dispozici; při ověřování kritérií hodnocení je možné, v rámci hospodárného využití času určeného na zkoušku, použít připravené sádrové formy.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připravené sádrové formy.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provedení a soulad s technickou a výrobní dokumentací, případně nedodržení jednotlivých parametrů pro zadaný výrobek.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 a kvalita provedení.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30.9.2026 7:35:57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30.9.2026 7:35:57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