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8501F" Type="http://schemas.openxmlformats.org/officeDocument/2006/relationships/officeDocument" Target="/word/document.xml" /><Relationship Id="coreR7E28501F" Type="http://schemas.openxmlformats.org/package/2006/relationships/metadata/core-properties" Target="/docProps/core.xml" /><Relationship Id="customR7E2850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30.9.2026 6:53:32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https://www.nsp.cz/jednotka-prace/vyrobce-sadrovych-forem#zdravotni-zpusobilost).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pro odlévání forem pro výrobu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ověřování kritérií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posuzování funkčnosti a rozměrů zhotovených forem pro keramické výrobky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se modelová situace týká předvedení kontroly rozměrů a přesnosti dosedacích ploch, lícování spár a funkčnosti hotových forem, které má zkoušející k dispozici; při ověřování kritérií hodnocení je možné, v rámci hospodárného využití času určeného na zkoušku, použít připravené sádrové formy.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připravené sádrové formy.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provedení a soulad s technickou a výrobní dokumentací, případně nedodržení jednotlivých parametrů pro zadaný výrobek.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 a kvalita provedení.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30.9.2026 6:53:32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30.9.2026 6:53:32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