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AB49C7" Type="http://schemas.openxmlformats.org/officeDocument/2006/relationships/officeDocument" Target="/word/document.xml" /><Relationship Id="coreR29AB49C7" Type="http://schemas.openxmlformats.org/package/2006/relationships/metadata/core-properties" Target="/docProps/core.xml" /><Relationship Id="customR29AB49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Vylévač/vylévačka keramiky (kód: 28-005-H)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Vylévač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postupu práce při vylévání, začišťování a dohotovování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licích strojů a linek při výrobě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bezpečnosti práce při výrobě keramiky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Vylévač/vylévačka keramiky, 30.9.2026 6:46:06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48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https://www.nsp.cz/jednotka-prace/vylevac-keramiky#zdravotni-zpusobilost).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v technických a výtvarných podkladech pro výrobu a zpracování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druh výrobku, ke kterému se budou vztahovat zadané úkoly a jeho parametry, podle zaměření konkrétní keramické výroby a místa konání zkoušky. Množství výrobků určí zkoušející podle obtížnosti zadané techniky.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licích strojů a linek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se provádí v reálném provozu nad dokumentací, na pracovních místech u strojů a linek, na modelových situacích, které připraví autorizovaná osoba. Autorizovaná osoba připraví dvě modelové situace v návaznosti na technické vybavení, kterým disponuje v místě konání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odborných kompetencí je žádoucí, aby uchazeč zadané úkoly vykonával tak, aby bylo zamezeno vzniku finančních ztrát např. poškozením stroje nebo poškozením výrobní linky. 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keramiky způsobených nedodržením technologického postupu.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a kvalita provedení. Předmětem hodnocení je také estetická stránka výrobku a manuální zručnost zkoušeného.</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21"/>
        <w:framePr w:w="7654" w:h="331" w:hRule="exact" w:wrap="none" w:vAnchor="page" w:hAnchor="margin" w:x="28" w:y="15940"/>
        <w:rPr>
          <w:rStyle w:val="C16"/>
          <w:rtl w:val="0"/>
        </w:rPr>
      </w:pPr>
      <w:r>
        <w:rPr>
          <w:rStyle w:val="C16"/>
          <w:rtl w:val="0"/>
        </w:rPr>
        <w:t>Vylévač/vylévačka keramiky, 30.9.2026 6:46:06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Vylévač/vylévačka keramiky, 30.9.2026 6:46:06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