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CCFDC" Type="http://schemas.openxmlformats.org/officeDocument/2006/relationships/officeDocument" Target="/word/document.xml" /><Relationship Id="coreR492CCFDC" Type="http://schemas.openxmlformats.org/package/2006/relationships/metadata/core-properties" Target="/docProps/core.xml" /><Relationship Id="customR492CCF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uchazeč není držitelem stupně odborné způsobilosti elektrotechnik, či vedoucí elektrotechnik,autorizovaná osoba před začátkem zkoušky provede školení a přezkoušení dle § 9, nařízení vlády č. 194/2022 Sb. opožadavcích na odbornou způsobilost k výkonu činností na elektrickém zařízení a na odbornou způsobilost velektrotechnice, a to na činnosti na elektrických zařízeních, se kterými uchazeč při zkoušce přijde do styku a bude s nimimanipulovat. O školení a přezkoušení provede autorizovaná osoba písemný záznam. Čas na školení a přezkoušení není zahrnut do doby vykonávání zkoušky, a ani do doby přípravy na zkoušku.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7.11.2026 17:32:47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EB8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